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3E1291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536503"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3E1291" w:rsidRPr="003E1291" w:rsidRDefault="003E1291" w:rsidP="003E1291">
      <w:pPr>
        <w:jc w:val="center"/>
        <w:rPr>
          <w:b/>
          <w:sz w:val="24"/>
          <w:szCs w:val="24"/>
        </w:rPr>
      </w:pPr>
      <w:bookmarkStart w:id="0" w:name="_GoBack"/>
      <w:r w:rsidRPr="003E1291">
        <w:rPr>
          <w:b/>
          <w:sz w:val="24"/>
          <w:szCs w:val="24"/>
        </w:rPr>
        <w:t>Всемирный горный конгресс: инновации приближают будущее</w:t>
      </w:r>
    </w:p>
    <w:bookmarkEnd w:id="0"/>
    <w:p w:rsidR="003E1291" w:rsidRPr="003E1291" w:rsidRDefault="003E1291" w:rsidP="003E1291">
      <w:pPr>
        <w:jc w:val="both"/>
        <w:rPr>
          <w:b/>
          <w:sz w:val="24"/>
          <w:szCs w:val="24"/>
        </w:rPr>
      </w:pPr>
      <w:r w:rsidRPr="003E1291">
        <w:rPr>
          <w:b/>
          <w:sz w:val="24"/>
          <w:szCs w:val="24"/>
        </w:rPr>
        <w:t xml:space="preserve">В Астане начал работу XXV юбилейный Всемирный горный конгресс. В масштабном отраслевом мероприятии принимают участие более 2300 делегатов из 50 стран. Они представляют 368 авторов-докладчиков из 37 стран, 58 ассоциаций, 79 университетов, в числе которых делегации из Австралии, Австрии, Канады, Норвегии и Франции. Среди ведущих спикеров такие почетные гости, как Исполнительный Директор </w:t>
      </w:r>
      <w:proofErr w:type="spellStart"/>
      <w:r w:rsidRPr="003E1291">
        <w:rPr>
          <w:b/>
          <w:sz w:val="24"/>
          <w:szCs w:val="24"/>
        </w:rPr>
        <w:t>Zijin</w:t>
      </w:r>
      <w:proofErr w:type="spellEnd"/>
      <w:r w:rsidRPr="003E1291">
        <w:rPr>
          <w:b/>
          <w:sz w:val="24"/>
          <w:szCs w:val="24"/>
        </w:rPr>
        <w:t xml:space="preserve"> </w:t>
      </w:r>
      <w:proofErr w:type="spellStart"/>
      <w:r w:rsidRPr="003E1291">
        <w:rPr>
          <w:b/>
          <w:sz w:val="24"/>
          <w:szCs w:val="24"/>
        </w:rPr>
        <w:t>Mining</w:t>
      </w:r>
      <w:proofErr w:type="spellEnd"/>
      <w:r w:rsidRPr="003E1291">
        <w:rPr>
          <w:b/>
          <w:sz w:val="24"/>
          <w:szCs w:val="24"/>
        </w:rPr>
        <w:t xml:space="preserve"> </w:t>
      </w:r>
      <w:proofErr w:type="spellStart"/>
      <w:r w:rsidRPr="003E1291">
        <w:rPr>
          <w:b/>
          <w:sz w:val="24"/>
          <w:szCs w:val="24"/>
        </w:rPr>
        <w:t>Group</w:t>
      </w:r>
      <w:proofErr w:type="spellEnd"/>
      <w:r w:rsidRPr="003E1291">
        <w:rPr>
          <w:b/>
          <w:sz w:val="24"/>
          <w:szCs w:val="24"/>
        </w:rPr>
        <w:t xml:space="preserve"> </w:t>
      </w:r>
      <w:proofErr w:type="spellStart"/>
      <w:r w:rsidRPr="003E1291">
        <w:rPr>
          <w:b/>
          <w:sz w:val="24"/>
          <w:szCs w:val="24"/>
        </w:rPr>
        <w:t>Co.Топ</w:t>
      </w:r>
      <w:proofErr w:type="spellEnd"/>
      <w:r w:rsidRPr="003E1291">
        <w:rPr>
          <w:b/>
          <w:sz w:val="24"/>
          <w:szCs w:val="24"/>
        </w:rPr>
        <w:t xml:space="preserve"> </w:t>
      </w:r>
      <w:proofErr w:type="spellStart"/>
      <w:r w:rsidRPr="003E1291">
        <w:rPr>
          <w:b/>
          <w:sz w:val="24"/>
          <w:szCs w:val="24"/>
        </w:rPr>
        <w:t>Майнинг</w:t>
      </w:r>
      <w:proofErr w:type="spellEnd"/>
      <w:r w:rsidRPr="003E1291">
        <w:rPr>
          <w:b/>
          <w:sz w:val="24"/>
          <w:szCs w:val="24"/>
        </w:rPr>
        <w:t xml:space="preserve"> (Китай) Джордж </w:t>
      </w:r>
      <w:proofErr w:type="spellStart"/>
      <w:r w:rsidRPr="003E1291">
        <w:rPr>
          <w:b/>
          <w:sz w:val="24"/>
          <w:szCs w:val="24"/>
        </w:rPr>
        <w:t>Фэнг</w:t>
      </w:r>
      <w:proofErr w:type="spellEnd"/>
      <w:r w:rsidRPr="003E1291">
        <w:rPr>
          <w:b/>
          <w:sz w:val="24"/>
          <w:szCs w:val="24"/>
        </w:rPr>
        <w:t xml:space="preserve">, Руководитель по горному делу Фондовой Биржи Торонто (Канада) Дин </w:t>
      </w:r>
      <w:proofErr w:type="spellStart"/>
      <w:r w:rsidRPr="003E1291">
        <w:rPr>
          <w:b/>
          <w:sz w:val="24"/>
          <w:szCs w:val="24"/>
        </w:rPr>
        <w:t>МакПерсон</w:t>
      </w:r>
      <w:proofErr w:type="spellEnd"/>
      <w:r w:rsidRPr="003E1291">
        <w:rPr>
          <w:b/>
          <w:sz w:val="24"/>
          <w:szCs w:val="24"/>
        </w:rPr>
        <w:t xml:space="preserve">, Глава подразделения технологии горнодобывающей отрасли </w:t>
      </w:r>
      <w:proofErr w:type="spellStart"/>
      <w:r w:rsidRPr="003E1291">
        <w:rPr>
          <w:b/>
          <w:sz w:val="24"/>
          <w:szCs w:val="24"/>
        </w:rPr>
        <w:t>ThyssenKrupp</w:t>
      </w:r>
      <w:proofErr w:type="spellEnd"/>
      <w:r w:rsidRPr="003E1291">
        <w:rPr>
          <w:b/>
          <w:sz w:val="24"/>
          <w:szCs w:val="24"/>
        </w:rPr>
        <w:t xml:space="preserve"> </w:t>
      </w:r>
      <w:proofErr w:type="spellStart"/>
      <w:r w:rsidRPr="003E1291">
        <w:rPr>
          <w:b/>
          <w:sz w:val="24"/>
          <w:szCs w:val="24"/>
        </w:rPr>
        <w:t>Industrial</w:t>
      </w:r>
      <w:proofErr w:type="spellEnd"/>
      <w:r w:rsidRPr="003E1291">
        <w:rPr>
          <w:b/>
          <w:sz w:val="24"/>
          <w:szCs w:val="24"/>
        </w:rPr>
        <w:t xml:space="preserve"> </w:t>
      </w:r>
      <w:proofErr w:type="spellStart"/>
      <w:r w:rsidRPr="003E1291">
        <w:rPr>
          <w:b/>
          <w:sz w:val="24"/>
          <w:szCs w:val="24"/>
        </w:rPr>
        <w:t>Solutions</w:t>
      </w:r>
      <w:proofErr w:type="spellEnd"/>
      <w:r w:rsidRPr="003E1291">
        <w:rPr>
          <w:b/>
          <w:sz w:val="24"/>
          <w:szCs w:val="24"/>
        </w:rPr>
        <w:t xml:space="preserve"> AG </w:t>
      </w:r>
      <w:proofErr w:type="spellStart"/>
      <w:r w:rsidRPr="003E1291">
        <w:rPr>
          <w:b/>
          <w:sz w:val="24"/>
          <w:szCs w:val="24"/>
        </w:rPr>
        <w:t>Торстен</w:t>
      </w:r>
      <w:proofErr w:type="spellEnd"/>
      <w:r w:rsidRPr="003E1291">
        <w:rPr>
          <w:b/>
          <w:sz w:val="24"/>
          <w:szCs w:val="24"/>
        </w:rPr>
        <w:t xml:space="preserve"> </w:t>
      </w:r>
      <w:proofErr w:type="spellStart"/>
      <w:r w:rsidRPr="003E1291">
        <w:rPr>
          <w:b/>
          <w:sz w:val="24"/>
          <w:szCs w:val="24"/>
        </w:rPr>
        <w:t>Герлах</w:t>
      </w:r>
      <w:proofErr w:type="spellEnd"/>
      <w:r w:rsidRPr="003E1291">
        <w:rPr>
          <w:b/>
          <w:sz w:val="24"/>
          <w:szCs w:val="24"/>
        </w:rPr>
        <w:t xml:space="preserve"> (Германия) и многие другие.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Открывая конгресс, первый заместитель Премьер-Министра РК Аскар Мамин зачитал приветственный адрес Президента РК к участникам 25-го Всемирного горного конгресса, в котором отмечается, что форум такого глобального масштаба впервые проходит на пространстве СНГ в Республике Казахстан. Для нашей страны, обладающей огромным материально-сырьевым потенциалом и большой горнодобывающей промышленностью, данное мероприятие имеет особую важность.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— Горно-металлургический сектор имеет стратегическое значение для казахстанской экономики, — говорится в документе. — В нашей стране, наряду с отечественными, успешно работают крупные транснациональные компании. За годы независимости в отрасль было привлечено более 42 млрд долларов иностранных инвестиций, и реализовано около 90 индустриальных проектов. Значительным шагом в повышении инвестиционной привлекательности и инновационном развитии отрасли стало принятие Кодекса о недрах и недропользовании и Государственной программы «Цифровой Казахстан».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Значимость горно-металлургического комплекса для Казахстана отметил в своем выступлении министр по инвестициям и развитию РК </w:t>
      </w:r>
      <w:proofErr w:type="spellStart"/>
      <w:r w:rsidRPr="003E1291">
        <w:rPr>
          <w:sz w:val="24"/>
          <w:szCs w:val="24"/>
        </w:rPr>
        <w:t>Женис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Касымбек</w:t>
      </w:r>
      <w:proofErr w:type="spellEnd"/>
      <w:r w:rsidRPr="003E1291">
        <w:rPr>
          <w:sz w:val="24"/>
          <w:szCs w:val="24"/>
        </w:rPr>
        <w:t>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— Данный сектор занимает второе место в структуре экономики страны после нефтегазовой промышленности, — подчеркнул глава ведомства. — Основой развития ГМК является богатая минерально-сырьевая база. Казахстан занимает 6-е место в мире по запасам природных ресурсов, 10-е место по общему объему добычи минерального сырья (без нефти и газа) и 3-е место по добыче полезных ископаемых на душу населения. Отрасль представлена на мировом рынке меди, урана, титана, ферросплавов и полиметаллов и оказывает значительное влияние на региональные рынки железа, угля и алюминия.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При этом на сегодня главной стратегической задачей является максимальная переработка сырья внутри страны, а также переход на более высокие переделы. Эти задачи реализуются в рамках Государственной программы индустриально-инновационного развития, в которой черная и цветная металлургия, наряду с другими секторами обрабатывающей промышленности, определены приоритетными секторами экономики.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lastRenderedPageBreak/>
        <w:t>— На сегодня мы уже можем сказать, что с 2010 года нам удалось увеличить текущий выпуск базовых металлов для экспорта, а также выйти на производство новых видов продукции, — сказал министр.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Как подчеркнул Ж. </w:t>
      </w:r>
      <w:proofErr w:type="spellStart"/>
      <w:r w:rsidRPr="003E1291">
        <w:rPr>
          <w:sz w:val="24"/>
          <w:szCs w:val="24"/>
        </w:rPr>
        <w:t>Касымбек</w:t>
      </w:r>
      <w:proofErr w:type="spellEnd"/>
      <w:r w:rsidRPr="003E1291">
        <w:rPr>
          <w:sz w:val="24"/>
          <w:szCs w:val="24"/>
        </w:rPr>
        <w:t xml:space="preserve">, развитию ГМК страны способствует благоприятный инвестиционный климат. Свидетельством тому является сотрудничество отечественных игроков рынка с мировыми лидерами– компаниями </w:t>
      </w:r>
      <w:proofErr w:type="spellStart"/>
      <w:r w:rsidRPr="003E1291">
        <w:rPr>
          <w:sz w:val="24"/>
          <w:szCs w:val="24"/>
        </w:rPr>
        <w:t>Glencore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ArcelorMittal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Posco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Tenaris</w:t>
      </w:r>
      <w:proofErr w:type="spellEnd"/>
      <w:r w:rsidRPr="003E1291">
        <w:rPr>
          <w:sz w:val="24"/>
          <w:szCs w:val="24"/>
        </w:rPr>
        <w:t xml:space="preserve">, ЕвразХолдинг, </w:t>
      </w:r>
      <w:proofErr w:type="spellStart"/>
      <w:r w:rsidRPr="003E1291">
        <w:rPr>
          <w:sz w:val="24"/>
          <w:szCs w:val="24"/>
        </w:rPr>
        <w:t>Polymetal</w:t>
      </w:r>
      <w:proofErr w:type="spellEnd"/>
      <w:r w:rsidRPr="003E1291">
        <w:rPr>
          <w:sz w:val="24"/>
          <w:szCs w:val="24"/>
        </w:rPr>
        <w:t xml:space="preserve"> и другими.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— Важной инициативой стало введение в конце прошлого года нового Кодекса о недрах и недропользовании с целью перехода на западноавстралийскую модель. В соответствии с новым кодексом внедрены лучшие международные практики в обеспечении прозрачных и понятных методов государственного регулирования отрасли, доступа к геологической информации, гармонизации национальных стандартов с мировыми. Данный документ направлен на привлечение иностранных инвесторов, в том числе юниорских предприятий, которые, как показывает мировая практика, открывают более 60% новых месторождений, — уточнил он.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О влиянии горно-металлургической отрасли на мировую экономику и перспективах сотрудничества с Казахстаном в сфере ВГК рассказал в своем докладе Вице-Министр предпринимательства и технологий Польши </w:t>
      </w:r>
      <w:proofErr w:type="spellStart"/>
      <w:r w:rsidRPr="003E1291">
        <w:rPr>
          <w:sz w:val="24"/>
          <w:szCs w:val="24"/>
        </w:rPr>
        <w:t>Тадеуш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Кощчиньский</w:t>
      </w:r>
      <w:proofErr w:type="spellEnd"/>
      <w:r w:rsidRPr="003E1291">
        <w:rPr>
          <w:sz w:val="24"/>
          <w:szCs w:val="24"/>
        </w:rPr>
        <w:t>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В свою очередь руководитель по горному делу Фондовой Биржи Торонто (Канада) Дин </w:t>
      </w:r>
      <w:proofErr w:type="spellStart"/>
      <w:r w:rsidRPr="003E1291">
        <w:rPr>
          <w:sz w:val="24"/>
          <w:szCs w:val="24"/>
        </w:rPr>
        <w:t>МакПерсон</w:t>
      </w:r>
      <w:proofErr w:type="spellEnd"/>
      <w:r w:rsidRPr="003E1291">
        <w:rPr>
          <w:sz w:val="24"/>
          <w:szCs w:val="24"/>
        </w:rPr>
        <w:t xml:space="preserve"> поведал о перспективах развития и трендах отрасли в мире, акцентировав свое выступление на значимости ВГК в данных процессах.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Председатель Совета директоров ERG Александр </w:t>
      </w:r>
      <w:proofErr w:type="spellStart"/>
      <w:r w:rsidRPr="003E1291">
        <w:rPr>
          <w:sz w:val="24"/>
          <w:szCs w:val="24"/>
        </w:rPr>
        <w:t>Машкевич</w:t>
      </w:r>
      <w:proofErr w:type="spellEnd"/>
      <w:r w:rsidRPr="003E1291">
        <w:rPr>
          <w:sz w:val="24"/>
          <w:szCs w:val="24"/>
        </w:rPr>
        <w:t xml:space="preserve"> в своем выступлении о развитии </w:t>
      </w:r>
      <w:proofErr w:type="spellStart"/>
      <w:r w:rsidRPr="003E1291">
        <w:rPr>
          <w:sz w:val="24"/>
          <w:szCs w:val="24"/>
        </w:rPr>
        <w:t>digital</w:t>
      </w:r>
      <w:proofErr w:type="spellEnd"/>
      <w:r w:rsidRPr="003E1291">
        <w:rPr>
          <w:sz w:val="24"/>
          <w:szCs w:val="24"/>
        </w:rPr>
        <w:t xml:space="preserve"> в ГМК Казахстана подчеркнул, что сегодня перед сектором ГМК стоит множество открытых вопросов, которые решаются с помощью цифровых решений. Это и снижение потерь и простоев, и повышение глубины переработки отходов, и повышение </w:t>
      </w:r>
      <w:proofErr w:type="spellStart"/>
      <w:r w:rsidRPr="003E1291">
        <w:rPr>
          <w:sz w:val="24"/>
          <w:szCs w:val="24"/>
        </w:rPr>
        <w:t>ресурсоэффективности</w:t>
      </w:r>
      <w:proofErr w:type="spellEnd"/>
      <w:r w:rsidRPr="003E1291">
        <w:rPr>
          <w:sz w:val="24"/>
          <w:szCs w:val="24"/>
        </w:rPr>
        <w:t>, и другие.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— Евразийская Группа системно, комплексно работает над повышением производительности и эффективности за счет применения новых технологий. Шесть лет назад мы создали собственный Научно-исследовательский и инжиниринговый центр ERG и рассматриваем как внутренние, так внешние решения, — сообщил он.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Приведя примеры реализации наиболее уникальных, передовых идей, особое внимание он обратил на проблемные вопросы, касающиеся, в частности, разрешительной документации и правил при строительстве, экспертизы проектов, выделения земельных участков, регистрации объектов. Спикер отметил важность гармонизации стандартов РК (СНиП) и международных стандартов в области проектирования и строительства. Это позволит применять инновационные технологии и материалы, повысить конкурентоспособность отечественных специалистов, выйти казахстанским компаниям на зарубежные рынки.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— К сожалению, у нас в Казахстане дефицит профессиональных компаний с достаточной ресурсной базой и компетенциями для поддержки крупных проектов промышленного строительства. И развить этот рынок возможно на основе модели долгосрочного сотрудничества с крупными заказчиками, например, такими, как ERG и другими гигантами, — считает Председатель Совета директоров ERG.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lastRenderedPageBreak/>
        <w:t xml:space="preserve">По его словам, остро стоит и кадровый вопрос. Не хватает специалистов, имеющих большой опыт реализации капитальных проектов в сфере ГМК, чтобы внедрить и затем передать его </w:t>
      </w:r>
      <w:proofErr w:type="spellStart"/>
      <w:r w:rsidRPr="003E1291">
        <w:rPr>
          <w:sz w:val="24"/>
          <w:szCs w:val="24"/>
        </w:rPr>
        <w:t>казахстанцам</w:t>
      </w:r>
      <w:proofErr w:type="spellEnd"/>
      <w:r w:rsidRPr="003E1291">
        <w:rPr>
          <w:sz w:val="24"/>
          <w:szCs w:val="24"/>
        </w:rPr>
        <w:t>. Многие готовы приехать к Казахстан. Но вопросы пребывания зарубежных профессионалов в стране требуют проработки на законодательном уровне.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— Успешность реализации проектов по переработке выбросов и отходов во многом зависит от оптимизации экологических платежей, — продолжил А. </w:t>
      </w:r>
      <w:proofErr w:type="spellStart"/>
      <w:r w:rsidRPr="003E1291">
        <w:rPr>
          <w:sz w:val="24"/>
          <w:szCs w:val="24"/>
        </w:rPr>
        <w:t>Машкевич</w:t>
      </w:r>
      <w:proofErr w:type="spellEnd"/>
      <w:r w:rsidRPr="003E1291">
        <w:rPr>
          <w:sz w:val="24"/>
          <w:szCs w:val="24"/>
        </w:rPr>
        <w:t>. — Понимание у государства есть, но теперь необходимо закрепить исключение обязанности повторно оплачивать экологические платежи за отходы, образующиеся после переработки отходов (ТМО), за размещение которых уже оплачены платежи по действующему Экологическому Кодексу РК.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— Основатель и председатель Всемирного экономического форума в Давосе господин Клаус Шваб в своей книге «Четвертая промышленная революция» сказал, что «главным показателем прогресса до сих пор является мера принятия обществом технологических новшеств». Думаю, все мы уже готовы к </w:t>
      </w:r>
      <w:proofErr w:type="spellStart"/>
      <w:r w:rsidRPr="003E1291">
        <w:rPr>
          <w:sz w:val="24"/>
          <w:szCs w:val="24"/>
        </w:rPr>
        <w:t>цифровизации</w:t>
      </w:r>
      <w:proofErr w:type="spellEnd"/>
      <w:r w:rsidRPr="003E1291">
        <w:rPr>
          <w:sz w:val="24"/>
          <w:szCs w:val="24"/>
        </w:rPr>
        <w:t>. Она прочно вошла в нашу жизнь. Уверен, что позитивные изменения совсем скоро помогут получить колоссальные результаты, — заключил председатель Совета директоров ERG.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Исполнительный директор Республиканской ассоциации горнодобывающих и горно-металлургических предприятий Николай </w:t>
      </w:r>
      <w:proofErr w:type="spellStart"/>
      <w:r w:rsidRPr="003E1291">
        <w:rPr>
          <w:sz w:val="24"/>
          <w:szCs w:val="24"/>
        </w:rPr>
        <w:t>Радостовец</w:t>
      </w:r>
      <w:proofErr w:type="spellEnd"/>
      <w:r w:rsidRPr="003E1291">
        <w:rPr>
          <w:sz w:val="24"/>
          <w:szCs w:val="24"/>
        </w:rPr>
        <w:t xml:space="preserve"> поднял вопрос совершенствования законодательства в сфере недропользования, обратив внимание на то, что этот процесс идет во взаимодействии бизнеса, Правительства и общества. Как результат совместной работы – в целом соответствие налогового законодательства и законодательства о недропользовании требованиям ОЭСР.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Касаясь создания нового Экологического кодекса, руководитель ассоциации заметил, что необходимо уходить от таких несовершенных практик, как применение косвенного метода экономической оценки ущерба окружающей среде, нецелевого использования экологических платежей. Закономерно возникает и вопрос о том, что экологические платежи должны идти на внедрение «зеленых» технологий.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Не менее насущный вопрос – развитие угольной отрасли. В стране есть богатейшие запасы угля. Но как эффективно использовать этот потенциал, сложившийся в энергетике Казахстана? Тем более, что для горно-металлургического сектора энергетика имеет ключевое значение. На сегодня существуют серьезные различия в стоимости электроэнергии, производимой на возобновляемых и традиционных источниках энергии. Если 1 </w:t>
      </w:r>
      <w:proofErr w:type="spellStart"/>
      <w:r w:rsidRPr="003E1291">
        <w:rPr>
          <w:sz w:val="24"/>
          <w:szCs w:val="24"/>
        </w:rPr>
        <w:t>кВтч</w:t>
      </w:r>
      <w:proofErr w:type="spellEnd"/>
      <w:r w:rsidRPr="003E1291">
        <w:rPr>
          <w:sz w:val="24"/>
          <w:szCs w:val="24"/>
        </w:rPr>
        <w:t xml:space="preserve"> электроэнергии, производимой на угольных станциях, составляет 7 тенге, то ветряная обходится в 3 раза дороже, а1 </w:t>
      </w:r>
      <w:proofErr w:type="spellStart"/>
      <w:r w:rsidRPr="003E1291">
        <w:rPr>
          <w:sz w:val="24"/>
          <w:szCs w:val="24"/>
        </w:rPr>
        <w:t>кВтч</w:t>
      </w:r>
      <w:proofErr w:type="spellEnd"/>
      <w:r w:rsidRPr="003E1291">
        <w:rPr>
          <w:sz w:val="24"/>
          <w:szCs w:val="24"/>
        </w:rPr>
        <w:t xml:space="preserve"> солнечной электроэнергии покупается по 35 тенге.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— Мы видим, что в обществе возникает вопрос: как сохранить конкурентоспособность продукции и в то же время внедрять «зеленые» технологии? Поэтому, может быть, к «зеленым» технологиям относить и переработку метана, дать возможность стимулировать внедрение новых «зеленых» технологий на угольных электростанциях, чтобы мы, как в Германии, сохранили высокие экологические требования и вырабатывали электроэнергию по низкой цене, — высказал мнение Н. </w:t>
      </w:r>
      <w:proofErr w:type="spellStart"/>
      <w:r w:rsidRPr="003E1291">
        <w:rPr>
          <w:sz w:val="24"/>
          <w:szCs w:val="24"/>
        </w:rPr>
        <w:t>Радостовец</w:t>
      </w:r>
      <w:proofErr w:type="spellEnd"/>
      <w:r w:rsidRPr="003E1291">
        <w:rPr>
          <w:sz w:val="24"/>
          <w:szCs w:val="24"/>
        </w:rPr>
        <w:t>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lastRenderedPageBreak/>
        <w:t>Он выразил надежду, что в переходный период, в течение которого цена электроэнергии, производимой на ВИЭ, станет сопоставимой с традиционной, общество придет к пониманию того, как вести себя в отношении угольных разрезов, а также людей, которые там работают.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Относительно кадрового обеспечения отрасли спикер подчеркнул, что горнодобывающие компании имеют огромные возможности переобучения специалистов, и серьезно этим занимаются.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— В этом плане Казахстан интересен тем, что на наших предприятиях есть сильные и конструктивно работающие профсоюзные структуры, — уточнил Н. </w:t>
      </w:r>
      <w:proofErr w:type="spellStart"/>
      <w:r w:rsidRPr="003E1291">
        <w:rPr>
          <w:sz w:val="24"/>
          <w:szCs w:val="24"/>
        </w:rPr>
        <w:t>Радостовец</w:t>
      </w:r>
      <w:proofErr w:type="spellEnd"/>
      <w:r w:rsidRPr="003E1291">
        <w:rPr>
          <w:sz w:val="24"/>
          <w:szCs w:val="24"/>
        </w:rPr>
        <w:t>. — Ряд профсоюзных лидеров серьезно работает над тем, чтобы содействовать переобучению работников новым профессиям, с тем, чтобы они овладевали новыми цифровыми технологиями.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С презентацией Горно-металлургического доклада Республики Казахстан на пленарном заседании выступил Вице-председатель и Старший Вице-Президент Подразделения горнодобывающей промышленности и металлов </w:t>
      </w:r>
      <w:proofErr w:type="spellStart"/>
      <w:r w:rsidRPr="003E1291">
        <w:rPr>
          <w:sz w:val="24"/>
          <w:szCs w:val="24"/>
        </w:rPr>
        <w:t>Wood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Mackenzie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Ltd</w:t>
      </w:r>
      <w:proofErr w:type="spellEnd"/>
      <w:r w:rsidRPr="003E1291">
        <w:rPr>
          <w:sz w:val="24"/>
          <w:szCs w:val="24"/>
        </w:rPr>
        <w:t xml:space="preserve"> Джулиан </w:t>
      </w:r>
      <w:proofErr w:type="spellStart"/>
      <w:r w:rsidRPr="003E1291">
        <w:rPr>
          <w:sz w:val="24"/>
          <w:szCs w:val="24"/>
        </w:rPr>
        <w:t>Кеттл</w:t>
      </w:r>
      <w:proofErr w:type="spellEnd"/>
      <w:r w:rsidRPr="003E1291">
        <w:rPr>
          <w:sz w:val="24"/>
          <w:szCs w:val="24"/>
        </w:rPr>
        <w:t>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Как показало обширное исследование ГМК Казахстана, проведенное компанией, основная сложность, стоящая сегодня перед горным сектором, — это цена и долгосрочные инвестиции.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— Эти две стороны медали никогда не совпадают, — прокомментировал спикер. — Мы видим, что на определенные товары растет спрос. С другой стороны, сокращается цикл инвестиций в силу того, что цены падают, — сейчас они начали понемногу восстанавливаться.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При этом Казахстан имеет огромные неиспользованные ресурсы. Джулиан </w:t>
      </w:r>
      <w:proofErr w:type="spellStart"/>
      <w:r w:rsidRPr="003E1291">
        <w:rPr>
          <w:sz w:val="24"/>
          <w:szCs w:val="24"/>
        </w:rPr>
        <w:t>Кеттл</w:t>
      </w:r>
      <w:proofErr w:type="spellEnd"/>
      <w:r w:rsidRPr="003E1291">
        <w:rPr>
          <w:sz w:val="24"/>
          <w:szCs w:val="24"/>
        </w:rPr>
        <w:t xml:space="preserve"> выделил такие металлы, как никель, кобальт, необходимые для производства электромобилей. Кроме того, широко вводятся в эксплуатацию кобальтовые батареи. Прекрасные возможности для развития ГМК нашей страны представляют также медь, алюминий, сталь.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По мнению эксперта, благодаря недавним изменениям в законодательстве, нормативно-правовой базе, привлекательность инвестиций в горный сектор Казахстана повысилась.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…Согласно прогнозам экспертов, в ближайшие годы горнодобывающую промышленность Казахстана ожидает устойчивый рост, чему способствуют рост цен на базовые металлы, а также законодательные трансформации, реализованные в 2017 году. В ходе пресс-конференции, состоявшейся после пленарного заседания, участникам Конгресса удалось узнать, какова реальная выгода для казахстанской горно-металлургической индустрии от проведения ВГК, насколько объемен вклад данной отрасли в экономику страны, какие меры принимаются на местах для оптимизации и повышения эффективности КМК страны в связи с нестабильной ситуацией на мировом рынке и сколько времени займет введение стандартов «зеленой экономики».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Вчера же в рамках ВГК-2018 состоялось открытие 24-й международной выставки «Горное оборудование, добыча и обогащение руд и минералов» – </w:t>
      </w:r>
      <w:proofErr w:type="spellStart"/>
      <w:r w:rsidRPr="003E1291">
        <w:rPr>
          <w:sz w:val="24"/>
          <w:szCs w:val="24"/>
        </w:rPr>
        <w:t>MiningWorld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Central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Asia</w:t>
      </w:r>
      <w:proofErr w:type="spellEnd"/>
      <w:r w:rsidRPr="003E1291">
        <w:rPr>
          <w:sz w:val="24"/>
          <w:szCs w:val="24"/>
        </w:rPr>
        <w:t xml:space="preserve">. По традиции на ее площадке ежегодно собирается свыше 200 компаний со всего мира. В этом году принять участие в работе выставки изъявили желание более 250 компаний из 24 государств. В их числе такие ведущие представители отрасли, как </w:t>
      </w:r>
      <w:proofErr w:type="spellStart"/>
      <w:r w:rsidRPr="003E1291">
        <w:rPr>
          <w:sz w:val="24"/>
          <w:szCs w:val="24"/>
        </w:rPr>
        <w:t>Aramine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Atlas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Copco</w:t>
      </w:r>
      <w:proofErr w:type="spellEnd"/>
      <w:r w:rsidRPr="003E1291">
        <w:rPr>
          <w:sz w:val="24"/>
          <w:szCs w:val="24"/>
        </w:rPr>
        <w:t xml:space="preserve">, CFT </w:t>
      </w:r>
      <w:proofErr w:type="spellStart"/>
      <w:r w:rsidRPr="003E1291">
        <w:rPr>
          <w:sz w:val="24"/>
          <w:szCs w:val="24"/>
        </w:rPr>
        <w:t>Group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lastRenderedPageBreak/>
        <w:t>Dressta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MetsoMinerals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Mclanahan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FLSMidth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Sandvik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Mining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and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Construction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Thrane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Outotec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Thyssenkrupp</w:t>
      </w:r>
      <w:proofErr w:type="spellEnd"/>
      <w:r w:rsidRPr="003E1291">
        <w:rPr>
          <w:sz w:val="24"/>
          <w:szCs w:val="24"/>
        </w:rPr>
        <w:t>, Вист Групп и другие.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>Общие национальные стенды на выставке представили Австралия, Австрия, Великобритания, Канада, КНР, Норвегия, Польша, Финляндия, Франция, Чешская Республика.</w:t>
      </w:r>
    </w:p>
    <w:p w:rsidR="003E1291" w:rsidRPr="003E1291" w:rsidRDefault="003E1291" w:rsidP="003E1291">
      <w:pPr>
        <w:jc w:val="both"/>
        <w:rPr>
          <w:sz w:val="24"/>
          <w:szCs w:val="24"/>
        </w:rPr>
      </w:pPr>
      <w:r w:rsidRPr="003E1291">
        <w:rPr>
          <w:sz w:val="24"/>
          <w:szCs w:val="24"/>
        </w:rPr>
        <w:t xml:space="preserve">Особенностью </w:t>
      </w:r>
      <w:proofErr w:type="spellStart"/>
      <w:r w:rsidRPr="003E1291">
        <w:rPr>
          <w:sz w:val="24"/>
          <w:szCs w:val="24"/>
        </w:rPr>
        <w:t>MiningWorld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Central</w:t>
      </w:r>
      <w:proofErr w:type="spellEnd"/>
      <w:r w:rsidRPr="003E1291">
        <w:rPr>
          <w:sz w:val="24"/>
          <w:szCs w:val="24"/>
        </w:rPr>
        <w:t xml:space="preserve"> </w:t>
      </w:r>
      <w:proofErr w:type="spellStart"/>
      <w:r w:rsidRPr="003E1291">
        <w:rPr>
          <w:sz w:val="24"/>
          <w:szCs w:val="24"/>
        </w:rPr>
        <w:t>Asia</w:t>
      </w:r>
      <w:proofErr w:type="spellEnd"/>
      <w:r w:rsidRPr="003E1291">
        <w:rPr>
          <w:sz w:val="24"/>
          <w:szCs w:val="24"/>
        </w:rPr>
        <w:t xml:space="preserve"> </w:t>
      </w:r>
      <w:proofErr w:type="gramStart"/>
      <w:r w:rsidRPr="003E1291">
        <w:rPr>
          <w:sz w:val="24"/>
          <w:szCs w:val="24"/>
        </w:rPr>
        <w:t>в этом году является</w:t>
      </w:r>
      <w:proofErr w:type="gramEnd"/>
      <w:r w:rsidRPr="003E1291">
        <w:rPr>
          <w:sz w:val="24"/>
          <w:szCs w:val="24"/>
        </w:rPr>
        <w:t xml:space="preserve"> и экспозиция ведущих горнодобывающих и горно-перерабатывающих предприятий Казахстана, таких, как ERG, Актюбинская медная компания, </w:t>
      </w:r>
      <w:proofErr w:type="spellStart"/>
      <w:r w:rsidRPr="003E1291">
        <w:rPr>
          <w:sz w:val="24"/>
          <w:szCs w:val="24"/>
        </w:rPr>
        <w:t>KazMinerals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Kazakhmys</w:t>
      </w:r>
      <w:proofErr w:type="spellEnd"/>
      <w:r w:rsidRPr="003E1291">
        <w:rPr>
          <w:sz w:val="24"/>
          <w:szCs w:val="24"/>
        </w:rPr>
        <w:t xml:space="preserve">, </w:t>
      </w:r>
      <w:proofErr w:type="spellStart"/>
      <w:r w:rsidRPr="003E1291">
        <w:rPr>
          <w:sz w:val="24"/>
          <w:szCs w:val="24"/>
        </w:rPr>
        <w:t>Kazzinc</w:t>
      </w:r>
      <w:proofErr w:type="spellEnd"/>
      <w:r w:rsidRPr="003E1291">
        <w:rPr>
          <w:sz w:val="24"/>
          <w:szCs w:val="24"/>
        </w:rPr>
        <w:t>.</w:t>
      </w:r>
    </w:p>
    <w:p w:rsidR="003E1291" w:rsidRDefault="00F4025A" w:rsidP="003E1291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Default="00EE5D52" w:rsidP="00F4025A">
      <w:pPr>
        <w:jc w:val="both"/>
        <w:rPr>
          <w:sz w:val="24"/>
          <w:szCs w:val="24"/>
        </w:rPr>
      </w:pPr>
    </w:p>
    <w:p w:rsidR="003E1291" w:rsidRPr="00EE5D52" w:rsidRDefault="003E1291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64" w:rsidRDefault="005C3464" w:rsidP="00DE2BF8">
      <w:pPr>
        <w:spacing w:after="0" w:line="240" w:lineRule="auto"/>
      </w:pPr>
      <w:r>
        <w:separator/>
      </w:r>
    </w:p>
  </w:endnote>
  <w:endnote w:type="continuationSeparator" w:id="0">
    <w:p w:rsidR="005C3464" w:rsidRDefault="005C3464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64" w:rsidRDefault="005C3464" w:rsidP="00DE2BF8">
      <w:pPr>
        <w:spacing w:after="0" w:line="240" w:lineRule="auto"/>
      </w:pPr>
      <w:r>
        <w:separator/>
      </w:r>
    </w:p>
  </w:footnote>
  <w:footnote w:type="continuationSeparator" w:id="0">
    <w:p w:rsidR="005C3464" w:rsidRDefault="005C3464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20722B"/>
    <w:rsid w:val="0036222F"/>
    <w:rsid w:val="003C428F"/>
    <w:rsid w:val="003E1291"/>
    <w:rsid w:val="003E711B"/>
    <w:rsid w:val="004158D5"/>
    <w:rsid w:val="00434963"/>
    <w:rsid w:val="00477B80"/>
    <w:rsid w:val="004A558E"/>
    <w:rsid w:val="004F1711"/>
    <w:rsid w:val="00536503"/>
    <w:rsid w:val="00597DE7"/>
    <w:rsid w:val="005C3464"/>
    <w:rsid w:val="00745C16"/>
    <w:rsid w:val="007D6FFB"/>
    <w:rsid w:val="007E25E3"/>
    <w:rsid w:val="00A23547"/>
    <w:rsid w:val="00C51F7B"/>
    <w:rsid w:val="00D75CBD"/>
    <w:rsid w:val="00DC180F"/>
    <w:rsid w:val="00DE2BF8"/>
    <w:rsid w:val="00EE5D52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2018-08-09T06:52:00Z</dcterms:created>
  <dcterms:modified xsi:type="dcterms:W3CDTF">2018-08-09T06:52:00Z</dcterms:modified>
</cp:coreProperties>
</file>