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D5" w:rsidRDefault="004158D5" w:rsidP="004158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:rsidR="004158D5" w:rsidRDefault="003E1291" w:rsidP="0041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536503">
        <w:rPr>
          <w:b/>
          <w:sz w:val="24"/>
          <w:szCs w:val="24"/>
        </w:rPr>
        <w:t xml:space="preserve"> июня </w:t>
      </w:r>
      <w:r w:rsidR="004158D5">
        <w:rPr>
          <w:b/>
          <w:sz w:val="24"/>
          <w:szCs w:val="24"/>
        </w:rPr>
        <w:t>201</w:t>
      </w:r>
      <w:r w:rsidR="004F1711">
        <w:rPr>
          <w:b/>
          <w:sz w:val="24"/>
          <w:szCs w:val="24"/>
        </w:rPr>
        <w:t>8</w:t>
      </w:r>
      <w:r w:rsidR="004158D5">
        <w:rPr>
          <w:b/>
          <w:sz w:val="24"/>
          <w:szCs w:val="24"/>
        </w:rPr>
        <w:t xml:space="preserve"> г.</w:t>
      </w:r>
    </w:p>
    <w:p w:rsidR="004158D5" w:rsidRDefault="00536503" w:rsidP="0041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4158D5">
        <w:rPr>
          <w:b/>
          <w:sz w:val="24"/>
          <w:szCs w:val="24"/>
        </w:rPr>
        <w:t>. Астана</w:t>
      </w:r>
    </w:p>
    <w:p w:rsidR="003E1291" w:rsidRPr="003E1291" w:rsidRDefault="003E1291" w:rsidP="003E1291">
      <w:pPr>
        <w:jc w:val="center"/>
        <w:rPr>
          <w:b/>
          <w:sz w:val="24"/>
          <w:szCs w:val="24"/>
        </w:rPr>
      </w:pPr>
      <w:bookmarkStart w:id="0" w:name="_GoBack"/>
      <w:r w:rsidRPr="003E1291">
        <w:rPr>
          <w:b/>
          <w:sz w:val="24"/>
          <w:szCs w:val="24"/>
        </w:rPr>
        <w:t>Всемирный горный конгресс: инновации приближают будущее</w:t>
      </w:r>
    </w:p>
    <w:bookmarkEnd w:id="0"/>
    <w:p w:rsidR="003E1291" w:rsidRPr="003E1291" w:rsidRDefault="003E1291" w:rsidP="003E1291">
      <w:pPr>
        <w:jc w:val="both"/>
        <w:rPr>
          <w:b/>
          <w:sz w:val="24"/>
          <w:szCs w:val="24"/>
        </w:rPr>
      </w:pPr>
      <w:r w:rsidRPr="003E1291">
        <w:rPr>
          <w:b/>
          <w:sz w:val="24"/>
          <w:szCs w:val="24"/>
        </w:rPr>
        <w:t xml:space="preserve">В Астане начал работу XXV юбилейный Всемирный горный конгресс. В масштабном отраслевом мероприятии принимают участие более 2300 делегатов из 50 стран. Они представляют 368 авторов-докладчиков из 37 стран, 58 ассоциаций, 79 университетов, в числе которых делегации из Австралии, Австрии, Канады, Норвегии и Франции. Среди ведущих спикеров такие почетные гости, как Исполнительный Директор </w:t>
      </w:r>
      <w:proofErr w:type="spellStart"/>
      <w:r w:rsidRPr="003E1291">
        <w:rPr>
          <w:b/>
          <w:sz w:val="24"/>
          <w:szCs w:val="24"/>
        </w:rPr>
        <w:t>Zijin</w:t>
      </w:r>
      <w:proofErr w:type="spellEnd"/>
      <w:r w:rsidRPr="003E1291">
        <w:rPr>
          <w:b/>
          <w:sz w:val="24"/>
          <w:szCs w:val="24"/>
        </w:rPr>
        <w:t xml:space="preserve"> </w:t>
      </w:r>
      <w:proofErr w:type="spellStart"/>
      <w:r w:rsidRPr="003E1291">
        <w:rPr>
          <w:b/>
          <w:sz w:val="24"/>
          <w:szCs w:val="24"/>
        </w:rPr>
        <w:t>Mining</w:t>
      </w:r>
      <w:proofErr w:type="spellEnd"/>
      <w:r w:rsidRPr="003E1291">
        <w:rPr>
          <w:b/>
          <w:sz w:val="24"/>
          <w:szCs w:val="24"/>
        </w:rPr>
        <w:t xml:space="preserve"> </w:t>
      </w:r>
      <w:proofErr w:type="spellStart"/>
      <w:r w:rsidRPr="003E1291">
        <w:rPr>
          <w:b/>
          <w:sz w:val="24"/>
          <w:szCs w:val="24"/>
        </w:rPr>
        <w:t>Group</w:t>
      </w:r>
      <w:proofErr w:type="spellEnd"/>
      <w:r w:rsidRPr="003E1291">
        <w:rPr>
          <w:b/>
          <w:sz w:val="24"/>
          <w:szCs w:val="24"/>
        </w:rPr>
        <w:t xml:space="preserve"> </w:t>
      </w:r>
      <w:proofErr w:type="spellStart"/>
      <w:r w:rsidRPr="003E1291">
        <w:rPr>
          <w:b/>
          <w:sz w:val="24"/>
          <w:szCs w:val="24"/>
        </w:rPr>
        <w:t>Co.Топ</w:t>
      </w:r>
      <w:proofErr w:type="spellEnd"/>
      <w:r w:rsidRPr="003E1291">
        <w:rPr>
          <w:b/>
          <w:sz w:val="24"/>
          <w:szCs w:val="24"/>
        </w:rPr>
        <w:t xml:space="preserve"> </w:t>
      </w:r>
      <w:proofErr w:type="spellStart"/>
      <w:r w:rsidRPr="003E1291">
        <w:rPr>
          <w:b/>
          <w:sz w:val="24"/>
          <w:szCs w:val="24"/>
        </w:rPr>
        <w:t>Майнинг</w:t>
      </w:r>
      <w:proofErr w:type="spellEnd"/>
      <w:r w:rsidRPr="003E1291">
        <w:rPr>
          <w:b/>
          <w:sz w:val="24"/>
          <w:szCs w:val="24"/>
        </w:rPr>
        <w:t xml:space="preserve"> (Китай) Джордж </w:t>
      </w:r>
      <w:proofErr w:type="spellStart"/>
      <w:r w:rsidRPr="003E1291">
        <w:rPr>
          <w:b/>
          <w:sz w:val="24"/>
          <w:szCs w:val="24"/>
        </w:rPr>
        <w:t>Фэнг</w:t>
      </w:r>
      <w:proofErr w:type="spellEnd"/>
      <w:r w:rsidRPr="003E1291">
        <w:rPr>
          <w:b/>
          <w:sz w:val="24"/>
          <w:szCs w:val="24"/>
        </w:rPr>
        <w:t xml:space="preserve">, Руководитель по горному делу Фондовой Биржи Торонто (Канада) Дин </w:t>
      </w:r>
      <w:proofErr w:type="spellStart"/>
      <w:r w:rsidRPr="003E1291">
        <w:rPr>
          <w:b/>
          <w:sz w:val="24"/>
          <w:szCs w:val="24"/>
        </w:rPr>
        <w:t>МакПерсон</w:t>
      </w:r>
      <w:proofErr w:type="spellEnd"/>
      <w:r w:rsidRPr="003E1291">
        <w:rPr>
          <w:b/>
          <w:sz w:val="24"/>
          <w:szCs w:val="24"/>
        </w:rPr>
        <w:t xml:space="preserve">, Глава подразделения технологии горнодобывающей отрасли </w:t>
      </w:r>
      <w:proofErr w:type="spellStart"/>
      <w:r w:rsidRPr="003E1291">
        <w:rPr>
          <w:b/>
          <w:sz w:val="24"/>
          <w:szCs w:val="24"/>
        </w:rPr>
        <w:t>ThyssenKrupp</w:t>
      </w:r>
      <w:proofErr w:type="spellEnd"/>
      <w:r w:rsidRPr="003E1291">
        <w:rPr>
          <w:b/>
          <w:sz w:val="24"/>
          <w:szCs w:val="24"/>
        </w:rPr>
        <w:t xml:space="preserve"> </w:t>
      </w:r>
      <w:proofErr w:type="spellStart"/>
      <w:r w:rsidRPr="003E1291">
        <w:rPr>
          <w:b/>
          <w:sz w:val="24"/>
          <w:szCs w:val="24"/>
        </w:rPr>
        <w:t>Industrial</w:t>
      </w:r>
      <w:proofErr w:type="spellEnd"/>
      <w:r w:rsidRPr="003E1291">
        <w:rPr>
          <w:b/>
          <w:sz w:val="24"/>
          <w:szCs w:val="24"/>
        </w:rPr>
        <w:t xml:space="preserve"> </w:t>
      </w:r>
      <w:proofErr w:type="spellStart"/>
      <w:r w:rsidRPr="003E1291">
        <w:rPr>
          <w:b/>
          <w:sz w:val="24"/>
          <w:szCs w:val="24"/>
        </w:rPr>
        <w:t>Solutions</w:t>
      </w:r>
      <w:proofErr w:type="spellEnd"/>
      <w:r w:rsidRPr="003E1291">
        <w:rPr>
          <w:b/>
          <w:sz w:val="24"/>
          <w:szCs w:val="24"/>
        </w:rPr>
        <w:t xml:space="preserve"> AG </w:t>
      </w:r>
      <w:proofErr w:type="spellStart"/>
      <w:r w:rsidRPr="003E1291">
        <w:rPr>
          <w:b/>
          <w:sz w:val="24"/>
          <w:szCs w:val="24"/>
        </w:rPr>
        <w:t>Торстен</w:t>
      </w:r>
      <w:proofErr w:type="spellEnd"/>
      <w:r w:rsidRPr="003E1291">
        <w:rPr>
          <w:b/>
          <w:sz w:val="24"/>
          <w:szCs w:val="24"/>
        </w:rPr>
        <w:t xml:space="preserve"> </w:t>
      </w:r>
      <w:proofErr w:type="spellStart"/>
      <w:r w:rsidRPr="003E1291">
        <w:rPr>
          <w:b/>
          <w:sz w:val="24"/>
          <w:szCs w:val="24"/>
        </w:rPr>
        <w:t>Герлах</w:t>
      </w:r>
      <w:proofErr w:type="spellEnd"/>
      <w:r w:rsidRPr="003E1291">
        <w:rPr>
          <w:b/>
          <w:sz w:val="24"/>
          <w:szCs w:val="24"/>
        </w:rPr>
        <w:t xml:space="preserve"> (Германия) и многие другие.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>Открывая конгресс, первый заместитель Премьер-Министра РК Аскар Мамин зачитал приветственный адрес Президента РК к участникам 25-го Всемирного горного конгресса, в котором отмечается, что форум такого глобального масштаба впервые проходит на пространстве СНГ в Республике Казахстан. Для нашей страны, обладающей огромным материально-сырьевым потенциалом и большой горнодобывающей промышленностью, данное мероприятие имеет особую важность.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>— Горно-металлургический сектор имеет стратегическое значение для казахстанской экономики, — говорится в документе. — В нашей стране, наряду с отечественными, успешно работают крупные транснациональные компании. За годы независимости в отрасль было привлечено более 42 млрд долларов иностранных инвестиций, и реализовано около 90 индустриальных проектов. Значительным шагом в повышении инвестиционной привлекательности и инновационном развитии отрасли стало принятие Кодекса о недрах и недропользовании и Государственной программы «Цифровой Казахстан».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 xml:space="preserve">Значимость горно-металлургического комплекса для Казахстана отметил в своем выступлении министр по инвестициям и развитию РК </w:t>
      </w:r>
      <w:proofErr w:type="spellStart"/>
      <w:r w:rsidRPr="003E1291">
        <w:rPr>
          <w:sz w:val="24"/>
          <w:szCs w:val="24"/>
        </w:rPr>
        <w:t>Женис</w:t>
      </w:r>
      <w:proofErr w:type="spellEnd"/>
      <w:r w:rsidRPr="003E1291">
        <w:rPr>
          <w:sz w:val="24"/>
          <w:szCs w:val="24"/>
        </w:rPr>
        <w:t xml:space="preserve"> </w:t>
      </w:r>
      <w:proofErr w:type="spellStart"/>
      <w:r w:rsidRPr="003E1291">
        <w:rPr>
          <w:sz w:val="24"/>
          <w:szCs w:val="24"/>
        </w:rPr>
        <w:t>Касымбек</w:t>
      </w:r>
      <w:proofErr w:type="spellEnd"/>
      <w:r w:rsidRPr="003E1291">
        <w:rPr>
          <w:sz w:val="24"/>
          <w:szCs w:val="24"/>
        </w:rPr>
        <w:t>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>— Данный сектор занимает второе место в структуре экономики страны после нефтегазовой промышленности, — подчеркнул глава ведомства. — Основой развития ГМК является богатая минерально-сырьевая база. Казахстан занимает 6-е место в мире по запасам природных ресурсов, 10-е место по общему объему добычи минерального сырья (без нефти и газа) и 3-е место по добыче полезных ископаемых на душу населения. Отрасль представлена на мировом рынке меди, урана, титана, ферросплавов и полиметаллов и оказывает значительное влияние на региональные рынки железа, угля и алюминия.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>При этом на сегодня главной стратегической задачей является максимальная переработка сырья внутри страны, а также переход на более высокие переделы. Эти задачи реализуются в рамках Государственной программы индустриально-инновационного развития, в которой черная и цветная металлургия, наряду с другими секторами обрабатывающей промышленности, определены приоритетными секторами экономики.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lastRenderedPageBreak/>
        <w:t>— На сегодня мы уже можем сказать, что с 2010 года нам удалось увеличить текущий выпуск базовых металлов для экспорта, а также выйти на производство новых видов продукции, — сказал министр.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 xml:space="preserve">Как подчеркнул Ж. </w:t>
      </w:r>
      <w:proofErr w:type="spellStart"/>
      <w:r w:rsidRPr="003E1291">
        <w:rPr>
          <w:sz w:val="24"/>
          <w:szCs w:val="24"/>
        </w:rPr>
        <w:t>Касымбек</w:t>
      </w:r>
      <w:proofErr w:type="spellEnd"/>
      <w:r w:rsidRPr="003E1291">
        <w:rPr>
          <w:sz w:val="24"/>
          <w:szCs w:val="24"/>
        </w:rPr>
        <w:t xml:space="preserve">, развитию ГМК страны способствует благоприятный инвестиционный климат. Свидетельством тому является сотрудничество отечественных игроков рынка с мировыми лидерами– компаниями </w:t>
      </w:r>
      <w:proofErr w:type="spellStart"/>
      <w:r w:rsidRPr="003E1291">
        <w:rPr>
          <w:sz w:val="24"/>
          <w:szCs w:val="24"/>
        </w:rPr>
        <w:t>Glencore</w:t>
      </w:r>
      <w:proofErr w:type="spellEnd"/>
      <w:r w:rsidRPr="003E1291">
        <w:rPr>
          <w:sz w:val="24"/>
          <w:szCs w:val="24"/>
        </w:rPr>
        <w:t xml:space="preserve">, </w:t>
      </w:r>
      <w:proofErr w:type="spellStart"/>
      <w:r w:rsidRPr="003E1291">
        <w:rPr>
          <w:sz w:val="24"/>
          <w:szCs w:val="24"/>
        </w:rPr>
        <w:t>ArcelorMittal</w:t>
      </w:r>
      <w:proofErr w:type="spellEnd"/>
      <w:r w:rsidRPr="003E1291">
        <w:rPr>
          <w:sz w:val="24"/>
          <w:szCs w:val="24"/>
        </w:rPr>
        <w:t xml:space="preserve">, </w:t>
      </w:r>
      <w:proofErr w:type="spellStart"/>
      <w:r w:rsidRPr="003E1291">
        <w:rPr>
          <w:sz w:val="24"/>
          <w:szCs w:val="24"/>
        </w:rPr>
        <w:t>Posco</w:t>
      </w:r>
      <w:proofErr w:type="spellEnd"/>
      <w:r w:rsidRPr="003E1291">
        <w:rPr>
          <w:sz w:val="24"/>
          <w:szCs w:val="24"/>
        </w:rPr>
        <w:t xml:space="preserve">, </w:t>
      </w:r>
      <w:proofErr w:type="spellStart"/>
      <w:r w:rsidRPr="003E1291">
        <w:rPr>
          <w:sz w:val="24"/>
          <w:szCs w:val="24"/>
        </w:rPr>
        <w:t>Tenaris</w:t>
      </w:r>
      <w:proofErr w:type="spellEnd"/>
      <w:r w:rsidRPr="003E1291">
        <w:rPr>
          <w:sz w:val="24"/>
          <w:szCs w:val="24"/>
        </w:rPr>
        <w:t xml:space="preserve">, ЕвразХолдинг, </w:t>
      </w:r>
      <w:proofErr w:type="spellStart"/>
      <w:r w:rsidRPr="003E1291">
        <w:rPr>
          <w:sz w:val="24"/>
          <w:szCs w:val="24"/>
        </w:rPr>
        <w:t>Polymetal</w:t>
      </w:r>
      <w:proofErr w:type="spellEnd"/>
      <w:r w:rsidRPr="003E1291">
        <w:rPr>
          <w:sz w:val="24"/>
          <w:szCs w:val="24"/>
        </w:rPr>
        <w:t xml:space="preserve"> и другими.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>— Важной инициативой стало введение в конце прошлого года нового Кодекса о недрах и недропользовании с целью перехода на западноавстралийскую модель. В соответствии с новым кодексом внедрены лучшие международные практики в обеспечении прозрачных и понятных методов государственного регулирования отрасли, доступа к геологической информации, гармонизации национальных стандартов с мировыми. Данный документ направлен на привлечение иностранных инвесторов, в том числе юниорских предприятий, которые, как показывает мировая практика, открывают более 60% новых месторождений, — уточнил он.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 xml:space="preserve">О влиянии горно-металлургической отрасли на мировую экономику и перспективах сотрудничества с Казахстаном в сфере ВГК рассказал в своем докладе Вице-Министр предпринимательства и технологий Польши </w:t>
      </w:r>
      <w:proofErr w:type="spellStart"/>
      <w:r w:rsidRPr="003E1291">
        <w:rPr>
          <w:sz w:val="24"/>
          <w:szCs w:val="24"/>
        </w:rPr>
        <w:t>Тадеуш</w:t>
      </w:r>
      <w:proofErr w:type="spellEnd"/>
      <w:r w:rsidRPr="003E1291">
        <w:rPr>
          <w:sz w:val="24"/>
          <w:szCs w:val="24"/>
        </w:rPr>
        <w:t xml:space="preserve"> </w:t>
      </w:r>
      <w:proofErr w:type="spellStart"/>
      <w:r w:rsidRPr="003E1291">
        <w:rPr>
          <w:sz w:val="24"/>
          <w:szCs w:val="24"/>
        </w:rPr>
        <w:t>Кощчиньский</w:t>
      </w:r>
      <w:proofErr w:type="spellEnd"/>
      <w:r w:rsidRPr="003E1291">
        <w:rPr>
          <w:sz w:val="24"/>
          <w:szCs w:val="24"/>
        </w:rPr>
        <w:t>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 xml:space="preserve">В свою очередь руководитель по горному делу Фондовой Биржи Торонто (Канада) Дин </w:t>
      </w:r>
      <w:proofErr w:type="spellStart"/>
      <w:r w:rsidRPr="003E1291">
        <w:rPr>
          <w:sz w:val="24"/>
          <w:szCs w:val="24"/>
        </w:rPr>
        <w:t>МакПерсон</w:t>
      </w:r>
      <w:proofErr w:type="spellEnd"/>
      <w:r w:rsidRPr="003E1291">
        <w:rPr>
          <w:sz w:val="24"/>
          <w:szCs w:val="24"/>
        </w:rPr>
        <w:t xml:space="preserve"> поведал о перспективах развития и трендах отрасли в мире, акцентировав свое выступление на значимости ВГК в данных процессах.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 xml:space="preserve">Председатель Совета директоров ERG Александр </w:t>
      </w:r>
      <w:proofErr w:type="spellStart"/>
      <w:r w:rsidRPr="003E1291">
        <w:rPr>
          <w:sz w:val="24"/>
          <w:szCs w:val="24"/>
        </w:rPr>
        <w:t>Машкевич</w:t>
      </w:r>
      <w:proofErr w:type="spellEnd"/>
      <w:r w:rsidRPr="003E1291">
        <w:rPr>
          <w:sz w:val="24"/>
          <w:szCs w:val="24"/>
        </w:rPr>
        <w:t xml:space="preserve"> в своем выступлении о развитии </w:t>
      </w:r>
      <w:proofErr w:type="spellStart"/>
      <w:r w:rsidRPr="003E1291">
        <w:rPr>
          <w:sz w:val="24"/>
          <w:szCs w:val="24"/>
        </w:rPr>
        <w:t>digital</w:t>
      </w:r>
      <w:proofErr w:type="spellEnd"/>
      <w:r w:rsidRPr="003E1291">
        <w:rPr>
          <w:sz w:val="24"/>
          <w:szCs w:val="24"/>
        </w:rPr>
        <w:t xml:space="preserve"> в ГМК Казахстана подчеркнул, что сегодня перед сектором ГМК стоит множество открытых вопросов, которые решаются с помощью цифровых решений. Это и снижение потерь и простоев, и повышение глубины переработки отходов, и повышение </w:t>
      </w:r>
      <w:proofErr w:type="spellStart"/>
      <w:r w:rsidRPr="003E1291">
        <w:rPr>
          <w:sz w:val="24"/>
          <w:szCs w:val="24"/>
        </w:rPr>
        <w:t>ресурсоэффективности</w:t>
      </w:r>
      <w:proofErr w:type="spellEnd"/>
      <w:r w:rsidRPr="003E1291">
        <w:rPr>
          <w:sz w:val="24"/>
          <w:szCs w:val="24"/>
        </w:rPr>
        <w:t>, и другие.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>— Евразийская Группа системно, комплексно работает над повышением производительности и эффективности за счет применения новых технологий. Шесть лет назад мы создали собственный Научно-исследовательский и инжиниринговый центр ERG и рассматриваем как внутренние, так внешние решения, — сообщил он.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>Приведя примеры реализации наиболее уникальных, передовых идей, особое внимание он обратил на проблемные вопросы, касающиеся, в частности, разрешительной документации и правил при строительстве, экспертизы проектов, выделения земельных участков, регистрации объектов. Спикер отметил важность гармонизации стандартов РК (СНиП) и международных стандартов в области проектирования и строительства. Это позволит применять инновационные технологии и материалы, повысить конкурентоспособность отечественных специалистов, выйти казахстанским компаниям на зарубежные рынки.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>— К сожалению, у нас в Казахстане дефицит профессиональных компаний с достаточной ресурсной базой и компетенциями для поддержки крупных проектов промышленного строительства. И развить этот рынок возможно на основе модели долгосрочного сотрудничества с крупными заказчиками, например, такими, как ERG и другими гигантами, — считает Председатель Совета директоров ERG.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lastRenderedPageBreak/>
        <w:t xml:space="preserve">По его словам, остро стоит и кадровый вопрос. Не хватает специалистов, имеющих большой опыт реализации капитальных проектов в сфере ГМК, чтобы внедрить и затем передать его </w:t>
      </w:r>
      <w:proofErr w:type="spellStart"/>
      <w:r w:rsidRPr="003E1291">
        <w:rPr>
          <w:sz w:val="24"/>
          <w:szCs w:val="24"/>
        </w:rPr>
        <w:t>казахстанцам</w:t>
      </w:r>
      <w:proofErr w:type="spellEnd"/>
      <w:r w:rsidRPr="003E1291">
        <w:rPr>
          <w:sz w:val="24"/>
          <w:szCs w:val="24"/>
        </w:rPr>
        <w:t>. Многие готовы приехать к Казахстан. Но вопросы пребывания зарубежных профессионалов в стране требуют проработки на законодательном уровне.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 xml:space="preserve">— Успешность реализации проектов по переработке выбросов и отходов во многом зависит от оптимизации экологических платежей, — продолжил А. </w:t>
      </w:r>
      <w:proofErr w:type="spellStart"/>
      <w:r w:rsidRPr="003E1291">
        <w:rPr>
          <w:sz w:val="24"/>
          <w:szCs w:val="24"/>
        </w:rPr>
        <w:t>Машкевич</w:t>
      </w:r>
      <w:proofErr w:type="spellEnd"/>
      <w:r w:rsidRPr="003E1291">
        <w:rPr>
          <w:sz w:val="24"/>
          <w:szCs w:val="24"/>
        </w:rPr>
        <w:t>. — Понимание у государства есть, но теперь необходимо закрепить исключение обязанности повторно оплачивать экологические платежи за отходы, образующиеся после переработки отходов (ТМО), за размещение которых уже оплачены платежи по действующему Экологическому Кодексу РК.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 xml:space="preserve">— Основатель и председатель Всемирного экономического форума в Давосе господин Клаус Шваб в своей книге «Четвертая промышленная революция» сказал, что «главным показателем прогресса до сих пор является мера принятия обществом технологических новшеств». Думаю, все мы уже готовы к </w:t>
      </w:r>
      <w:proofErr w:type="spellStart"/>
      <w:r w:rsidRPr="003E1291">
        <w:rPr>
          <w:sz w:val="24"/>
          <w:szCs w:val="24"/>
        </w:rPr>
        <w:t>цифровизации</w:t>
      </w:r>
      <w:proofErr w:type="spellEnd"/>
      <w:r w:rsidRPr="003E1291">
        <w:rPr>
          <w:sz w:val="24"/>
          <w:szCs w:val="24"/>
        </w:rPr>
        <w:t>. Она прочно вошла в нашу жизнь. Уверен, что позитивные изменения совсем скоро помогут получить колоссальные результаты, — заключил председатель Совета директоров ERG.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 xml:space="preserve">Исполнительный директор Республиканской ассоциации горнодобывающих и горно-металлургических предприятий Николай </w:t>
      </w:r>
      <w:proofErr w:type="spellStart"/>
      <w:r w:rsidRPr="003E1291">
        <w:rPr>
          <w:sz w:val="24"/>
          <w:szCs w:val="24"/>
        </w:rPr>
        <w:t>Радостовец</w:t>
      </w:r>
      <w:proofErr w:type="spellEnd"/>
      <w:r w:rsidRPr="003E1291">
        <w:rPr>
          <w:sz w:val="24"/>
          <w:szCs w:val="24"/>
        </w:rPr>
        <w:t xml:space="preserve"> поднял вопрос совершенствования законодательства в сфере недропользования, обратив внимание на то, что этот процесс идет во взаимодействии бизнеса, Правительства и общества. Как результат совместной работы – в целом соответствие налогового законодательства и законодательства о недропользовании требованиям ОЭСР.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>Касаясь создания нового Экологического кодекса, руководитель ассоциации заметил, что необходимо уходить от таких несовершенных практик, как применение косвенного метода экономической оценки ущерба окружающей среде, нецелевого использования экологических платежей. Закономерно возникает и вопрос о том, что экологические платежи должны идти на внедрение «зеленых» технологий.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 xml:space="preserve">Не менее насущный вопрос – развитие угольной отрасли. В стране есть богатейшие запасы угля. Но как эффективно использовать этот потенциал, сложившийся в энергетике Казахстана? Тем более, что для горно-металлургического сектора энергетика имеет ключевое значение. На сегодня существуют серьезные различия в стоимости электроэнергии, производимой на возобновляемых и традиционных источниках энергии. Если 1 </w:t>
      </w:r>
      <w:proofErr w:type="spellStart"/>
      <w:r w:rsidRPr="003E1291">
        <w:rPr>
          <w:sz w:val="24"/>
          <w:szCs w:val="24"/>
        </w:rPr>
        <w:t>кВтч</w:t>
      </w:r>
      <w:proofErr w:type="spellEnd"/>
      <w:r w:rsidRPr="003E1291">
        <w:rPr>
          <w:sz w:val="24"/>
          <w:szCs w:val="24"/>
        </w:rPr>
        <w:t xml:space="preserve"> электроэнергии, производимой на угольных станциях, составляет 7 тенге, то ветряная обходится в 3 раза дороже, а1 </w:t>
      </w:r>
      <w:proofErr w:type="spellStart"/>
      <w:r w:rsidRPr="003E1291">
        <w:rPr>
          <w:sz w:val="24"/>
          <w:szCs w:val="24"/>
        </w:rPr>
        <w:t>кВтч</w:t>
      </w:r>
      <w:proofErr w:type="spellEnd"/>
      <w:r w:rsidRPr="003E1291">
        <w:rPr>
          <w:sz w:val="24"/>
          <w:szCs w:val="24"/>
        </w:rPr>
        <w:t xml:space="preserve"> солнечной электроэнергии покупается по 35 тенге.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 xml:space="preserve">— Мы видим, что в обществе возникает вопрос: как сохранить конкурентоспособность продукции и в то же время внедрять «зеленые» технологии? Поэтому, может быть, к «зеленым» технологиям относить и переработку метана, дать возможность стимулировать внедрение новых «зеленых» технологий на угольных электростанциях, чтобы мы, как в Германии, сохранили высокие экологические требования и вырабатывали электроэнергию по низкой цене, — высказал мнение Н. </w:t>
      </w:r>
      <w:proofErr w:type="spellStart"/>
      <w:r w:rsidRPr="003E1291">
        <w:rPr>
          <w:sz w:val="24"/>
          <w:szCs w:val="24"/>
        </w:rPr>
        <w:t>Радостовец</w:t>
      </w:r>
      <w:proofErr w:type="spellEnd"/>
      <w:r w:rsidRPr="003E1291">
        <w:rPr>
          <w:sz w:val="24"/>
          <w:szCs w:val="24"/>
        </w:rPr>
        <w:t>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lastRenderedPageBreak/>
        <w:t>Он выразил надежду, что в переходный период, в течение которого цена электроэнергии, производимой на ВИЭ, станет сопоставимой с традиционной, общество придет к пониманию того, как вести себя в отношении угольных разрезов, а также людей, которые там работают.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>Относительно кадрового обеспечения отрасли спикер подчеркнул, что горнодобывающие компании имеют огромные возможности переобучения специалистов, и серьезно этим занимаются.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 xml:space="preserve">— В этом плане Казахстан интересен тем, что на наших предприятиях есть сильные и конструктивно работающие профсоюзные структуры, — уточнил Н. </w:t>
      </w:r>
      <w:proofErr w:type="spellStart"/>
      <w:r w:rsidRPr="003E1291">
        <w:rPr>
          <w:sz w:val="24"/>
          <w:szCs w:val="24"/>
        </w:rPr>
        <w:t>Радостовец</w:t>
      </w:r>
      <w:proofErr w:type="spellEnd"/>
      <w:r w:rsidRPr="003E1291">
        <w:rPr>
          <w:sz w:val="24"/>
          <w:szCs w:val="24"/>
        </w:rPr>
        <w:t>. — Ряд профсоюзных лидеров серьезно работает над тем, чтобы содействовать переобучению работников новым профессиям, с тем, чтобы они овладевали новыми цифровыми технологиями.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 xml:space="preserve">С презентацией Горно-металлургического доклада Республики Казахстан на пленарном заседании выступил Вице-председатель и Старший Вице-Президент Подразделения горнодобывающей промышленности и металлов </w:t>
      </w:r>
      <w:proofErr w:type="spellStart"/>
      <w:r w:rsidRPr="003E1291">
        <w:rPr>
          <w:sz w:val="24"/>
          <w:szCs w:val="24"/>
        </w:rPr>
        <w:t>Wood</w:t>
      </w:r>
      <w:proofErr w:type="spellEnd"/>
      <w:r w:rsidRPr="003E1291">
        <w:rPr>
          <w:sz w:val="24"/>
          <w:szCs w:val="24"/>
        </w:rPr>
        <w:t xml:space="preserve"> </w:t>
      </w:r>
      <w:proofErr w:type="spellStart"/>
      <w:r w:rsidRPr="003E1291">
        <w:rPr>
          <w:sz w:val="24"/>
          <w:szCs w:val="24"/>
        </w:rPr>
        <w:t>Mackenzie</w:t>
      </w:r>
      <w:proofErr w:type="spellEnd"/>
      <w:r w:rsidRPr="003E1291">
        <w:rPr>
          <w:sz w:val="24"/>
          <w:szCs w:val="24"/>
        </w:rPr>
        <w:t xml:space="preserve"> </w:t>
      </w:r>
      <w:proofErr w:type="spellStart"/>
      <w:r w:rsidRPr="003E1291">
        <w:rPr>
          <w:sz w:val="24"/>
          <w:szCs w:val="24"/>
        </w:rPr>
        <w:t>Ltd</w:t>
      </w:r>
      <w:proofErr w:type="spellEnd"/>
      <w:r w:rsidRPr="003E1291">
        <w:rPr>
          <w:sz w:val="24"/>
          <w:szCs w:val="24"/>
        </w:rPr>
        <w:t xml:space="preserve"> Джулиан </w:t>
      </w:r>
      <w:proofErr w:type="spellStart"/>
      <w:r w:rsidRPr="003E1291">
        <w:rPr>
          <w:sz w:val="24"/>
          <w:szCs w:val="24"/>
        </w:rPr>
        <w:t>Кеттл</w:t>
      </w:r>
      <w:proofErr w:type="spellEnd"/>
      <w:r w:rsidRPr="003E1291">
        <w:rPr>
          <w:sz w:val="24"/>
          <w:szCs w:val="24"/>
        </w:rPr>
        <w:t>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>Как показало обширное исследование ГМК Казахстана, проведенное компанией, основная сложность, стоящая сегодня перед горным сектором, — это цена и долгосрочные инвестиции.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>— Эти две стороны медали никогда не совпадают, — прокомментировал спикер. — Мы видим, что на определенные товары растет спрос. С другой стороны, сокращается цикл инвестиций в силу того, что цены падают, — сейчас они начали понемногу восстанавливаться.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 xml:space="preserve">При этом Казахстан имеет огромные неиспользованные ресурсы. Джулиан </w:t>
      </w:r>
      <w:proofErr w:type="spellStart"/>
      <w:r w:rsidRPr="003E1291">
        <w:rPr>
          <w:sz w:val="24"/>
          <w:szCs w:val="24"/>
        </w:rPr>
        <w:t>Кеттл</w:t>
      </w:r>
      <w:proofErr w:type="spellEnd"/>
      <w:r w:rsidRPr="003E1291">
        <w:rPr>
          <w:sz w:val="24"/>
          <w:szCs w:val="24"/>
        </w:rPr>
        <w:t xml:space="preserve"> выделил такие металлы, как никель, кобальт, необходимые для производства электромобилей. Кроме того, широко вводятся в эксплуатацию кобальтовые батареи. Прекрасные возможности для развития ГМК нашей страны представляют также медь, алюминий, сталь.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>По мнению эксперта, благодаря недавним изменениям в законодательстве, нормативно-правовой базе, привлекательность инвестиций в горный сектор Казахстана повысилась.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>…Согласно прогнозам экспертов, в ближайшие годы горнодобывающую промышленность Казахстана ожидает устойчивый рост, чему способствуют рост цен на базовые металлы, а также законодательные трансформации, реализованные в 2017 году. В ходе пресс-конференции, состоявшейся после пленарного заседания, участникам Конгресса удалось узнать, какова реальная выгода для казахстанской горно-металлургической индустрии от проведения ВГК, насколько объемен вклад данной отрасли в экономику страны, какие меры принимаются на местах для оптимизации и повышения эффективности КМК страны в связи с нестабильной ситуацией на мировом рынке и сколько времени займет введение стандартов «зеленой экономики».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 xml:space="preserve">Вчера же в рамках ВГК-2018 состоялось открытие 24-й международной выставки «Горное оборудование, добыча и обогащение руд и минералов» – </w:t>
      </w:r>
      <w:proofErr w:type="spellStart"/>
      <w:r w:rsidRPr="003E1291">
        <w:rPr>
          <w:sz w:val="24"/>
          <w:szCs w:val="24"/>
        </w:rPr>
        <w:t>MiningWorld</w:t>
      </w:r>
      <w:proofErr w:type="spellEnd"/>
      <w:r w:rsidRPr="003E1291">
        <w:rPr>
          <w:sz w:val="24"/>
          <w:szCs w:val="24"/>
        </w:rPr>
        <w:t xml:space="preserve"> </w:t>
      </w:r>
      <w:proofErr w:type="spellStart"/>
      <w:r w:rsidRPr="003E1291">
        <w:rPr>
          <w:sz w:val="24"/>
          <w:szCs w:val="24"/>
        </w:rPr>
        <w:t>Central</w:t>
      </w:r>
      <w:proofErr w:type="spellEnd"/>
      <w:r w:rsidRPr="003E1291">
        <w:rPr>
          <w:sz w:val="24"/>
          <w:szCs w:val="24"/>
        </w:rPr>
        <w:t xml:space="preserve"> </w:t>
      </w:r>
      <w:proofErr w:type="spellStart"/>
      <w:r w:rsidRPr="003E1291">
        <w:rPr>
          <w:sz w:val="24"/>
          <w:szCs w:val="24"/>
        </w:rPr>
        <w:t>Asia</w:t>
      </w:r>
      <w:proofErr w:type="spellEnd"/>
      <w:r w:rsidRPr="003E1291">
        <w:rPr>
          <w:sz w:val="24"/>
          <w:szCs w:val="24"/>
        </w:rPr>
        <w:t xml:space="preserve">. По традиции на ее площадке ежегодно собирается свыше 200 компаний со всего мира. В этом году принять участие в работе выставки изъявили желание более 250 компаний из 24 государств. В их числе такие ведущие представители отрасли, как </w:t>
      </w:r>
      <w:proofErr w:type="spellStart"/>
      <w:r w:rsidRPr="003E1291">
        <w:rPr>
          <w:sz w:val="24"/>
          <w:szCs w:val="24"/>
        </w:rPr>
        <w:t>Aramine</w:t>
      </w:r>
      <w:proofErr w:type="spellEnd"/>
      <w:r w:rsidRPr="003E1291">
        <w:rPr>
          <w:sz w:val="24"/>
          <w:szCs w:val="24"/>
        </w:rPr>
        <w:t xml:space="preserve">, </w:t>
      </w:r>
      <w:proofErr w:type="spellStart"/>
      <w:r w:rsidRPr="003E1291">
        <w:rPr>
          <w:sz w:val="24"/>
          <w:szCs w:val="24"/>
        </w:rPr>
        <w:t>Atlas</w:t>
      </w:r>
      <w:proofErr w:type="spellEnd"/>
      <w:r w:rsidRPr="003E1291">
        <w:rPr>
          <w:sz w:val="24"/>
          <w:szCs w:val="24"/>
        </w:rPr>
        <w:t xml:space="preserve"> </w:t>
      </w:r>
      <w:proofErr w:type="spellStart"/>
      <w:r w:rsidRPr="003E1291">
        <w:rPr>
          <w:sz w:val="24"/>
          <w:szCs w:val="24"/>
        </w:rPr>
        <w:t>Copco</w:t>
      </w:r>
      <w:proofErr w:type="spellEnd"/>
      <w:r w:rsidRPr="003E1291">
        <w:rPr>
          <w:sz w:val="24"/>
          <w:szCs w:val="24"/>
        </w:rPr>
        <w:t xml:space="preserve">, CFT </w:t>
      </w:r>
      <w:proofErr w:type="spellStart"/>
      <w:r w:rsidRPr="003E1291">
        <w:rPr>
          <w:sz w:val="24"/>
          <w:szCs w:val="24"/>
        </w:rPr>
        <w:t>Group</w:t>
      </w:r>
      <w:proofErr w:type="spellEnd"/>
      <w:r w:rsidRPr="003E1291">
        <w:rPr>
          <w:sz w:val="24"/>
          <w:szCs w:val="24"/>
        </w:rPr>
        <w:t xml:space="preserve">, </w:t>
      </w:r>
      <w:proofErr w:type="spellStart"/>
      <w:r w:rsidRPr="003E1291">
        <w:rPr>
          <w:sz w:val="24"/>
          <w:szCs w:val="24"/>
        </w:rPr>
        <w:lastRenderedPageBreak/>
        <w:t>Dressta</w:t>
      </w:r>
      <w:proofErr w:type="spellEnd"/>
      <w:r w:rsidRPr="003E1291">
        <w:rPr>
          <w:sz w:val="24"/>
          <w:szCs w:val="24"/>
        </w:rPr>
        <w:t xml:space="preserve">, </w:t>
      </w:r>
      <w:proofErr w:type="spellStart"/>
      <w:r w:rsidRPr="003E1291">
        <w:rPr>
          <w:sz w:val="24"/>
          <w:szCs w:val="24"/>
        </w:rPr>
        <w:t>MetsoMinerals</w:t>
      </w:r>
      <w:proofErr w:type="spellEnd"/>
      <w:r w:rsidRPr="003E1291">
        <w:rPr>
          <w:sz w:val="24"/>
          <w:szCs w:val="24"/>
        </w:rPr>
        <w:t xml:space="preserve">, </w:t>
      </w:r>
      <w:proofErr w:type="spellStart"/>
      <w:r w:rsidRPr="003E1291">
        <w:rPr>
          <w:sz w:val="24"/>
          <w:szCs w:val="24"/>
        </w:rPr>
        <w:t>Mclanahan</w:t>
      </w:r>
      <w:proofErr w:type="spellEnd"/>
      <w:r w:rsidRPr="003E1291">
        <w:rPr>
          <w:sz w:val="24"/>
          <w:szCs w:val="24"/>
        </w:rPr>
        <w:t xml:space="preserve">, </w:t>
      </w:r>
      <w:proofErr w:type="spellStart"/>
      <w:r w:rsidRPr="003E1291">
        <w:rPr>
          <w:sz w:val="24"/>
          <w:szCs w:val="24"/>
        </w:rPr>
        <w:t>FLSMidth</w:t>
      </w:r>
      <w:proofErr w:type="spellEnd"/>
      <w:r w:rsidRPr="003E1291">
        <w:rPr>
          <w:sz w:val="24"/>
          <w:szCs w:val="24"/>
        </w:rPr>
        <w:t xml:space="preserve">, </w:t>
      </w:r>
      <w:proofErr w:type="spellStart"/>
      <w:r w:rsidRPr="003E1291">
        <w:rPr>
          <w:sz w:val="24"/>
          <w:szCs w:val="24"/>
        </w:rPr>
        <w:t>Sandvik</w:t>
      </w:r>
      <w:proofErr w:type="spellEnd"/>
      <w:r w:rsidRPr="003E1291">
        <w:rPr>
          <w:sz w:val="24"/>
          <w:szCs w:val="24"/>
        </w:rPr>
        <w:t xml:space="preserve"> </w:t>
      </w:r>
      <w:proofErr w:type="spellStart"/>
      <w:r w:rsidRPr="003E1291">
        <w:rPr>
          <w:sz w:val="24"/>
          <w:szCs w:val="24"/>
        </w:rPr>
        <w:t>Mining</w:t>
      </w:r>
      <w:proofErr w:type="spellEnd"/>
      <w:r w:rsidRPr="003E1291">
        <w:rPr>
          <w:sz w:val="24"/>
          <w:szCs w:val="24"/>
        </w:rPr>
        <w:t xml:space="preserve"> </w:t>
      </w:r>
      <w:proofErr w:type="spellStart"/>
      <w:r w:rsidRPr="003E1291">
        <w:rPr>
          <w:sz w:val="24"/>
          <w:szCs w:val="24"/>
        </w:rPr>
        <w:t>and</w:t>
      </w:r>
      <w:proofErr w:type="spellEnd"/>
      <w:r w:rsidRPr="003E1291">
        <w:rPr>
          <w:sz w:val="24"/>
          <w:szCs w:val="24"/>
        </w:rPr>
        <w:t xml:space="preserve"> </w:t>
      </w:r>
      <w:proofErr w:type="spellStart"/>
      <w:r w:rsidRPr="003E1291">
        <w:rPr>
          <w:sz w:val="24"/>
          <w:szCs w:val="24"/>
        </w:rPr>
        <w:t>Construction</w:t>
      </w:r>
      <w:proofErr w:type="spellEnd"/>
      <w:r w:rsidRPr="003E1291">
        <w:rPr>
          <w:sz w:val="24"/>
          <w:szCs w:val="24"/>
        </w:rPr>
        <w:t xml:space="preserve">, </w:t>
      </w:r>
      <w:proofErr w:type="spellStart"/>
      <w:r w:rsidRPr="003E1291">
        <w:rPr>
          <w:sz w:val="24"/>
          <w:szCs w:val="24"/>
        </w:rPr>
        <w:t>Thrane</w:t>
      </w:r>
      <w:proofErr w:type="spellEnd"/>
      <w:r w:rsidRPr="003E1291">
        <w:rPr>
          <w:sz w:val="24"/>
          <w:szCs w:val="24"/>
        </w:rPr>
        <w:t xml:space="preserve">, </w:t>
      </w:r>
      <w:proofErr w:type="spellStart"/>
      <w:r w:rsidRPr="003E1291">
        <w:rPr>
          <w:sz w:val="24"/>
          <w:szCs w:val="24"/>
        </w:rPr>
        <w:t>Outotec</w:t>
      </w:r>
      <w:proofErr w:type="spellEnd"/>
      <w:r w:rsidRPr="003E1291">
        <w:rPr>
          <w:sz w:val="24"/>
          <w:szCs w:val="24"/>
        </w:rPr>
        <w:t xml:space="preserve">, </w:t>
      </w:r>
      <w:proofErr w:type="spellStart"/>
      <w:r w:rsidRPr="003E1291">
        <w:rPr>
          <w:sz w:val="24"/>
          <w:szCs w:val="24"/>
        </w:rPr>
        <w:t>Thyssenkrupp</w:t>
      </w:r>
      <w:proofErr w:type="spellEnd"/>
      <w:r w:rsidRPr="003E1291">
        <w:rPr>
          <w:sz w:val="24"/>
          <w:szCs w:val="24"/>
        </w:rPr>
        <w:t>, Вист Групп и другие.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>Общие национальные стенды на выставке представили Австралия, Австрия, Великобритания, Канада, КНР, Норвегия, Польша, Финляндия, Франция, Чешская Республика.</w:t>
      </w:r>
    </w:p>
    <w:p w:rsidR="003E1291" w:rsidRPr="003E1291" w:rsidRDefault="003E1291" w:rsidP="003E1291">
      <w:pPr>
        <w:jc w:val="both"/>
        <w:rPr>
          <w:sz w:val="24"/>
          <w:szCs w:val="24"/>
        </w:rPr>
      </w:pPr>
      <w:r w:rsidRPr="003E1291">
        <w:rPr>
          <w:sz w:val="24"/>
          <w:szCs w:val="24"/>
        </w:rPr>
        <w:t xml:space="preserve">Особенностью </w:t>
      </w:r>
      <w:proofErr w:type="spellStart"/>
      <w:r w:rsidRPr="003E1291">
        <w:rPr>
          <w:sz w:val="24"/>
          <w:szCs w:val="24"/>
        </w:rPr>
        <w:t>MiningWorld</w:t>
      </w:r>
      <w:proofErr w:type="spellEnd"/>
      <w:r w:rsidRPr="003E1291">
        <w:rPr>
          <w:sz w:val="24"/>
          <w:szCs w:val="24"/>
        </w:rPr>
        <w:t xml:space="preserve"> </w:t>
      </w:r>
      <w:proofErr w:type="spellStart"/>
      <w:r w:rsidRPr="003E1291">
        <w:rPr>
          <w:sz w:val="24"/>
          <w:szCs w:val="24"/>
        </w:rPr>
        <w:t>Central</w:t>
      </w:r>
      <w:proofErr w:type="spellEnd"/>
      <w:r w:rsidRPr="003E1291">
        <w:rPr>
          <w:sz w:val="24"/>
          <w:szCs w:val="24"/>
        </w:rPr>
        <w:t xml:space="preserve"> </w:t>
      </w:r>
      <w:proofErr w:type="spellStart"/>
      <w:r w:rsidRPr="003E1291">
        <w:rPr>
          <w:sz w:val="24"/>
          <w:szCs w:val="24"/>
        </w:rPr>
        <w:t>Asia</w:t>
      </w:r>
      <w:proofErr w:type="spellEnd"/>
      <w:r w:rsidRPr="003E1291">
        <w:rPr>
          <w:sz w:val="24"/>
          <w:szCs w:val="24"/>
        </w:rPr>
        <w:t xml:space="preserve"> </w:t>
      </w:r>
      <w:proofErr w:type="gramStart"/>
      <w:r w:rsidRPr="003E1291">
        <w:rPr>
          <w:sz w:val="24"/>
          <w:szCs w:val="24"/>
        </w:rPr>
        <w:t>в этом году является</w:t>
      </w:r>
      <w:proofErr w:type="gramEnd"/>
      <w:r w:rsidRPr="003E1291">
        <w:rPr>
          <w:sz w:val="24"/>
          <w:szCs w:val="24"/>
        </w:rPr>
        <w:t xml:space="preserve"> и экспозиция ведущих горнодобывающих и горно-перерабатывающих предприятий Казахстана, таких, как ERG, Актюбинская медная компания, </w:t>
      </w:r>
      <w:proofErr w:type="spellStart"/>
      <w:r w:rsidRPr="003E1291">
        <w:rPr>
          <w:sz w:val="24"/>
          <w:szCs w:val="24"/>
        </w:rPr>
        <w:t>KazMinerals</w:t>
      </w:r>
      <w:proofErr w:type="spellEnd"/>
      <w:r w:rsidRPr="003E1291">
        <w:rPr>
          <w:sz w:val="24"/>
          <w:szCs w:val="24"/>
        </w:rPr>
        <w:t xml:space="preserve">, </w:t>
      </w:r>
      <w:proofErr w:type="spellStart"/>
      <w:r w:rsidRPr="003E1291">
        <w:rPr>
          <w:sz w:val="24"/>
          <w:szCs w:val="24"/>
        </w:rPr>
        <w:t>Kazakhmys</w:t>
      </w:r>
      <w:proofErr w:type="spellEnd"/>
      <w:r w:rsidRPr="003E1291">
        <w:rPr>
          <w:sz w:val="24"/>
          <w:szCs w:val="24"/>
        </w:rPr>
        <w:t xml:space="preserve">, </w:t>
      </w:r>
      <w:proofErr w:type="spellStart"/>
      <w:r w:rsidRPr="003E1291">
        <w:rPr>
          <w:sz w:val="24"/>
          <w:szCs w:val="24"/>
        </w:rPr>
        <w:t>Kazzinc</w:t>
      </w:r>
      <w:proofErr w:type="spellEnd"/>
      <w:r w:rsidRPr="003E1291">
        <w:rPr>
          <w:sz w:val="24"/>
          <w:szCs w:val="24"/>
        </w:rPr>
        <w:t>.</w:t>
      </w:r>
    </w:p>
    <w:p w:rsidR="003E1291" w:rsidRDefault="00F4025A" w:rsidP="003E1291">
      <w:pPr>
        <w:jc w:val="both"/>
        <w:rPr>
          <w:b/>
          <w:sz w:val="24"/>
          <w:szCs w:val="24"/>
        </w:rPr>
      </w:pPr>
      <w:r w:rsidRPr="00F4025A">
        <w:rPr>
          <w:b/>
          <w:sz w:val="24"/>
          <w:szCs w:val="24"/>
        </w:rPr>
        <w:t>Пресс</w:t>
      </w:r>
      <w:r w:rsidRPr="004F1711">
        <w:rPr>
          <w:b/>
          <w:sz w:val="24"/>
          <w:szCs w:val="24"/>
        </w:rPr>
        <w:t>-</w:t>
      </w:r>
      <w:r w:rsidRPr="00F4025A">
        <w:rPr>
          <w:b/>
          <w:sz w:val="24"/>
          <w:szCs w:val="24"/>
        </w:rPr>
        <w:t>служба</w:t>
      </w:r>
      <w:r w:rsidRPr="004F1711">
        <w:rPr>
          <w:b/>
          <w:sz w:val="24"/>
          <w:szCs w:val="24"/>
        </w:rPr>
        <w:t xml:space="preserve"> </w:t>
      </w:r>
      <w:r w:rsidRPr="00F4025A">
        <w:rPr>
          <w:b/>
          <w:sz w:val="24"/>
          <w:szCs w:val="24"/>
        </w:rPr>
        <w:t>АГМП</w:t>
      </w:r>
    </w:p>
    <w:p w:rsidR="00F4025A" w:rsidRPr="004F1711" w:rsidRDefault="00F4025A" w:rsidP="00F4025A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Тел</w:t>
      </w:r>
      <w:r w:rsidRPr="004F1711">
        <w:rPr>
          <w:sz w:val="24"/>
          <w:szCs w:val="24"/>
        </w:rPr>
        <w:t>.: 8 (7172) 689</w:t>
      </w:r>
      <w:r>
        <w:rPr>
          <w:sz w:val="24"/>
          <w:szCs w:val="24"/>
          <w:lang w:val="en-US"/>
        </w:rPr>
        <w:t> </w:t>
      </w:r>
      <w:r w:rsidRPr="004F1711">
        <w:rPr>
          <w:sz w:val="24"/>
          <w:szCs w:val="24"/>
        </w:rPr>
        <w:t>6</w:t>
      </w:r>
      <w:r>
        <w:rPr>
          <w:sz w:val="24"/>
          <w:szCs w:val="24"/>
        </w:rPr>
        <w:t>05</w:t>
      </w:r>
      <w:r w:rsidRPr="004F1711">
        <w:rPr>
          <w:sz w:val="24"/>
          <w:szCs w:val="24"/>
        </w:rPr>
        <w:t xml:space="preserve"> </w:t>
      </w:r>
    </w:p>
    <w:p w:rsidR="00F4025A" w:rsidRDefault="00EE5D52" w:rsidP="00F4025A">
      <w:pPr>
        <w:jc w:val="both"/>
        <w:rPr>
          <w:sz w:val="24"/>
          <w:szCs w:val="24"/>
        </w:rPr>
      </w:pPr>
      <w:r>
        <w:rPr>
          <w:sz w:val="24"/>
          <w:szCs w:val="24"/>
        </w:rPr>
        <w:t>8 701 027 89 74</w:t>
      </w:r>
    </w:p>
    <w:p w:rsidR="00EE5D52" w:rsidRDefault="00EE5D52" w:rsidP="00F4025A">
      <w:pPr>
        <w:jc w:val="both"/>
        <w:rPr>
          <w:sz w:val="24"/>
          <w:szCs w:val="24"/>
        </w:rPr>
      </w:pPr>
    </w:p>
    <w:p w:rsidR="003E1291" w:rsidRPr="00EE5D52" w:rsidRDefault="003E1291" w:rsidP="00F4025A">
      <w:pPr>
        <w:jc w:val="both"/>
        <w:rPr>
          <w:sz w:val="24"/>
          <w:szCs w:val="24"/>
        </w:rPr>
      </w:pPr>
    </w:p>
    <w:p w:rsidR="00F4025A" w:rsidRPr="00F4025A" w:rsidRDefault="00F4025A" w:rsidP="00F4025A">
      <w:pPr>
        <w:jc w:val="both"/>
        <w:rPr>
          <w:b/>
          <w:sz w:val="24"/>
          <w:szCs w:val="24"/>
        </w:rPr>
      </w:pPr>
      <w:r w:rsidRPr="00F4025A">
        <w:rPr>
          <w:b/>
          <w:sz w:val="24"/>
          <w:szCs w:val="24"/>
        </w:rPr>
        <w:t>Об АГМП</w:t>
      </w:r>
    </w:p>
    <w:p w:rsidR="00F4025A" w:rsidRPr="00F4025A" w:rsidRDefault="00F4025A" w:rsidP="00F4025A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 xml:space="preserve">ОЮЛ «Ассоциация горнодобывающих и горно-металлургических предприятий» создана в 2005 году по инициативе предприятий горнорудного сектора Республики Казахстан. На сегодняшний день АГМП является крупнейшим отраслевым объединением Казахстана, в состав которого входят более </w:t>
      </w:r>
      <w:r>
        <w:rPr>
          <w:sz w:val="24"/>
          <w:szCs w:val="24"/>
        </w:rPr>
        <w:t>100</w:t>
      </w:r>
      <w:r w:rsidRPr="00F4025A">
        <w:rPr>
          <w:sz w:val="24"/>
          <w:szCs w:val="24"/>
        </w:rPr>
        <w:t xml:space="preserve"> компаний черной и цветной металлургии, урановой и угольной промышленности.</w:t>
      </w:r>
    </w:p>
    <w:p w:rsidR="00F4025A" w:rsidRPr="00F4025A" w:rsidRDefault="00F4025A" w:rsidP="00F4025A">
      <w:pPr>
        <w:jc w:val="both"/>
        <w:rPr>
          <w:sz w:val="24"/>
          <w:szCs w:val="24"/>
        </w:rPr>
      </w:pPr>
    </w:p>
    <w:p w:rsidR="004A558E" w:rsidRPr="004158D5" w:rsidRDefault="00F4025A" w:rsidP="004F1711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Ассоциация аккредитована в Национальной палате предпринимателей, а также в 7 министерствах и ведомствах, входит в состав основных рабочих групп в качестве единого представителя отрасли и выступает там как полномочный представитель работодателей в процессе социального партнерства.</w:t>
      </w:r>
    </w:p>
    <w:sectPr w:rsidR="004A558E" w:rsidRPr="004158D5" w:rsidSect="00C51F7B">
      <w:headerReference w:type="default" r:id="rId6"/>
      <w:footerReference w:type="default" r:id="rId7"/>
      <w:pgSz w:w="11906" w:h="16838"/>
      <w:pgMar w:top="1134" w:right="140" w:bottom="1134" w:left="142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64" w:rsidRDefault="005C3464" w:rsidP="00DE2BF8">
      <w:pPr>
        <w:spacing w:after="0" w:line="240" w:lineRule="auto"/>
      </w:pPr>
      <w:r>
        <w:separator/>
      </w:r>
    </w:p>
  </w:endnote>
  <w:endnote w:type="continuationSeparator" w:id="0">
    <w:p w:rsidR="005C3464" w:rsidRDefault="005C3464" w:rsidP="00DE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7B" w:rsidRDefault="00C51F7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ACE1C" wp14:editId="7271D56C">
              <wp:simplePos x="0" y="0"/>
              <wp:positionH relativeFrom="column">
                <wp:posOffset>-106045</wp:posOffset>
              </wp:positionH>
              <wp:positionV relativeFrom="paragraph">
                <wp:posOffset>49199</wp:posOffset>
              </wp:positionV>
              <wp:extent cx="7593496" cy="0"/>
              <wp:effectExtent l="0" t="19050" r="26670" b="190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349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C2E20"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3.85pt" to="58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" strokecolor="#00b0f0" strokeweight="2.75pt">
              <v:stroke joinstyle="miter"/>
            </v:line>
          </w:pict>
        </mc:Fallback>
      </mc:AlternateContent>
    </w:r>
  </w:p>
  <w:p w:rsidR="00DE2BF8" w:rsidRPr="007D6FFB" w:rsidRDefault="00C51F7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F8C33F1" wp14:editId="00B169DD">
          <wp:simplePos x="0" y="0"/>
          <wp:positionH relativeFrom="column">
            <wp:posOffset>5952655</wp:posOffset>
          </wp:positionH>
          <wp:positionV relativeFrom="paragraph">
            <wp:posOffset>37465</wp:posOffset>
          </wp:positionV>
          <wp:extent cx="1463040" cy="1371553"/>
          <wp:effectExtent l="0" t="0" r="3810" b="63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12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371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BF8" w:rsidRPr="007D6FFB"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  <w:t>Пресс служба АГМП</w:t>
    </w:r>
  </w:p>
  <w:p w:rsidR="007D6FFB" w:rsidRPr="007D6FFB" w:rsidRDefault="007D6FF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</w:p>
  <w:p w:rsidR="007D6FFB" w:rsidRPr="007D6FFB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  <w:r w:rsidRPr="007D6FFB"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  <w:t xml:space="preserve">РЕСПУБЛИКАНСКАЯ АССОЦИАЦИЯ ГОРНОДОБЫВАЮЩИХ </w:t>
    </w:r>
  </w:p>
  <w:p w:rsidR="00DE2BF8" w:rsidRPr="007D6FFB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  <w:r w:rsidRPr="007D6FFB"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  <w:t>И ГОРНО-МЕТАЛЛУРГИЧЕСКИХ ПРЕДПРИЯТИЙ</w:t>
    </w:r>
  </w:p>
  <w:p w:rsidR="00DE2BF8" w:rsidRPr="00DE2BF8" w:rsidRDefault="007D6FF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F79646"/>
        <w:sz w:val="18"/>
        <w:szCs w:val="18"/>
        <w:lang w:eastAsia="ru-RU"/>
      </w:rPr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93017" wp14:editId="4736D37F">
              <wp:simplePos x="0" y="0"/>
              <wp:positionH relativeFrom="column">
                <wp:posOffset>-106045</wp:posOffset>
              </wp:positionH>
              <wp:positionV relativeFrom="paragraph">
                <wp:posOffset>98756</wp:posOffset>
              </wp:positionV>
              <wp:extent cx="3705308" cy="0"/>
              <wp:effectExtent l="0" t="19050" r="2857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05308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7521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7.8pt" to="283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" strokecolor="#00b0f0" strokeweight="2.75pt">
              <v:stroke joinstyle="miter"/>
            </v:line>
          </w:pict>
        </mc:Fallback>
      </mc:AlternateContent>
    </w:r>
  </w:p>
  <w:p w:rsidR="00DE2BF8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F79646"/>
        <w:sz w:val="18"/>
        <w:szCs w:val="18"/>
        <w:lang w:val="kk-KZ" w:eastAsia="ru-RU"/>
      </w:rPr>
    </w:pPr>
  </w:p>
  <w:tbl>
    <w:tblPr>
      <w:tblStyle w:val="a8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852"/>
    </w:tblGrid>
    <w:tr w:rsidR="00C51F7B" w:rsidTr="00C51F7B">
      <w:trPr>
        <w:trHeight w:val="247"/>
      </w:trPr>
      <w:tc>
        <w:tcPr>
          <w:tcW w:w="2835" w:type="dxa"/>
        </w:tcPr>
        <w:p w:rsidR="00C51F7B" w:rsidRPr="004158D5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9"/>
              <w:szCs w:val="19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Т:</w:t>
          </w:r>
          <w:r w:rsidRPr="007D6FF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+7 (7172</w:t>
          </w:r>
          <w:r w:rsidRPr="007E25E3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 xml:space="preserve">) </w:t>
          </w:r>
          <w:r w:rsidRPr="004158D5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689 601</w:t>
          </w:r>
        </w:p>
        <w:p w:rsidR="00C51F7B" w:rsidRPr="004158D5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Ф:</w:t>
          </w:r>
          <w:r w:rsidRPr="00C51F7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+7 (7172)</w:t>
          </w:r>
          <w:r w:rsidRPr="00C51F7B">
            <w:rPr>
              <w:rFonts w:ascii="Arial" w:hAnsi="Arial" w:cs="Arial"/>
              <w:noProof/>
              <w:sz w:val="18"/>
              <w:szCs w:val="18"/>
              <w:lang w:eastAsia="ru-RU"/>
            </w:rPr>
            <w:t xml:space="preserve"> </w:t>
          </w:r>
          <w:r w:rsidRPr="004158D5">
            <w:rPr>
              <w:rFonts w:ascii="Arial" w:hAnsi="Arial" w:cs="Arial"/>
              <w:noProof/>
              <w:color w:val="525252" w:themeColor="accent3" w:themeShade="80"/>
              <w:sz w:val="18"/>
              <w:szCs w:val="18"/>
              <w:lang w:eastAsia="ru-RU"/>
            </w:rPr>
            <w:t>689 602</w:t>
          </w:r>
        </w:p>
        <w:p w:rsidR="00C51F7B" w:rsidRPr="007D6FFB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9"/>
              <w:szCs w:val="19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val="en-US" w:eastAsia="ru-RU"/>
            </w:rPr>
            <w:t>E</w:t>
          </w: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: </w:t>
          </w:r>
          <w:r w:rsidRPr="007D6FF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agmp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.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info</w:t>
          </w:r>
          <w:r w:rsidRPr="007D6FF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@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gmail</w:t>
          </w:r>
          <w:r w:rsidRPr="007D6FF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.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com</w:t>
          </w:r>
        </w:p>
        <w:p w:rsidR="00C51F7B" w:rsidRDefault="00C51F7B" w:rsidP="007D6FFB">
          <w:pPr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</w:pPr>
        </w:p>
      </w:tc>
      <w:tc>
        <w:tcPr>
          <w:tcW w:w="2852" w:type="dxa"/>
        </w:tcPr>
        <w:p w:rsidR="007E25E3" w:rsidRPr="007E25E3" w:rsidRDefault="007E25E3" w:rsidP="007E25E3">
          <w:pPr>
            <w:rPr>
              <w:rFonts w:ascii="Arial" w:hAnsi="Arial" w:cs="Arial"/>
              <w:color w:val="525252" w:themeColor="accent3" w:themeShade="80"/>
              <w:sz w:val="18"/>
              <w:szCs w:val="18"/>
            </w:rPr>
          </w:pPr>
          <w:r w:rsidRPr="007E25E3">
            <w:rPr>
              <w:rFonts w:ascii="Arial" w:hAnsi="Arial" w:cs="Arial"/>
              <w:color w:val="525252" w:themeColor="accent3" w:themeShade="80"/>
              <w:sz w:val="18"/>
              <w:szCs w:val="18"/>
            </w:rPr>
            <w:t>Республика Казахстан,</w:t>
          </w:r>
        </w:p>
        <w:p w:rsidR="007E25E3" w:rsidRPr="007E25E3" w:rsidRDefault="007E25E3" w:rsidP="007E25E3">
          <w:pPr>
            <w:rPr>
              <w:rFonts w:ascii="Arial" w:hAnsi="Arial" w:cs="Arial"/>
              <w:color w:val="525252" w:themeColor="accent3" w:themeShade="80"/>
              <w:sz w:val="18"/>
              <w:szCs w:val="18"/>
            </w:rPr>
          </w:pPr>
          <w:r w:rsidRPr="007E25E3">
            <w:rPr>
              <w:rFonts w:ascii="Arial" w:hAnsi="Arial" w:cs="Arial"/>
              <w:color w:val="525252" w:themeColor="accent3" w:themeShade="80"/>
              <w:sz w:val="18"/>
              <w:szCs w:val="18"/>
            </w:rPr>
            <w:t>г. Астана, ул. Д. Кунаева 12/1</w:t>
          </w:r>
        </w:p>
        <w:p w:rsidR="00C51F7B" w:rsidRPr="007E25E3" w:rsidRDefault="007E25E3" w:rsidP="007D6FFB">
          <w:pPr>
            <w:rPr>
              <w:rFonts w:ascii="Arial" w:hAnsi="Arial" w:cs="Arial"/>
              <w:sz w:val="18"/>
              <w:szCs w:val="18"/>
            </w:rPr>
          </w:pPr>
          <w:r w:rsidRPr="007E25E3">
            <w:rPr>
              <w:rFonts w:ascii="Arial" w:hAnsi="Arial" w:cs="Arial"/>
              <w:color w:val="00B0F0"/>
              <w:sz w:val="18"/>
              <w:szCs w:val="18"/>
            </w:rPr>
            <w:t>www.agmp.kz</w:t>
          </w:r>
        </w:p>
      </w:tc>
    </w:tr>
  </w:tbl>
  <w:p w:rsidR="00C51F7B" w:rsidRDefault="00C51F7B" w:rsidP="00C51F7B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64" w:rsidRDefault="005C3464" w:rsidP="00DE2BF8">
      <w:pPr>
        <w:spacing w:after="0" w:line="240" w:lineRule="auto"/>
      </w:pPr>
      <w:r>
        <w:separator/>
      </w:r>
    </w:p>
  </w:footnote>
  <w:footnote w:type="continuationSeparator" w:id="0">
    <w:p w:rsidR="005C3464" w:rsidRDefault="005C3464" w:rsidP="00DE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63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0AA7FC08" wp14:editId="697C638B">
          <wp:simplePos x="0" y="0"/>
          <wp:positionH relativeFrom="column">
            <wp:posOffset>3220589</wp:posOffset>
          </wp:positionH>
          <wp:positionV relativeFrom="paragraph">
            <wp:posOffset>-291924</wp:posOffset>
          </wp:positionV>
          <wp:extent cx="756771" cy="709448"/>
          <wp:effectExtent l="0" t="0" r="5715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12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75" cy="717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34963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</w:p>
  <w:p w:rsidR="00DE2BF8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B9CE9D" wp14:editId="05381EC0">
              <wp:simplePos x="0" y="0"/>
              <wp:positionH relativeFrom="column">
                <wp:posOffset>-119190</wp:posOffset>
              </wp:positionH>
              <wp:positionV relativeFrom="paragraph">
                <wp:posOffset>86995</wp:posOffset>
              </wp:positionV>
              <wp:extent cx="7593496" cy="0"/>
              <wp:effectExtent l="0" t="19050" r="26670" b="19050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349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AC7C3F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6.85pt" to="58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" strokecolor="#00b0f0" strokeweight="2.75pt">
              <v:stroke joinstyle="miter"/>
            </v:line>
          </w:pict>
        </mc:Fallback>
      </mc:AlternateContent>
    </w:r>
    <w:r>
      <w:tab/>
    </w:r>
  </w:p>
  <w:p w:rsidR="00DE2BF8" w:rsidRDefault="00DE2B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8"/>
    <w:rsid w:val="0020722B"/>
    <w:rsid w:val="0036222F"/>
    <w:rsid w:val="003C428F"/>
    <w:rsid w:val="003E1291"/>
    <w:rsid w:val="003E711B"/>
    <w:rsid w:val="004158D5"/>
    <w:rsid w:val="00434963"/>
    <w:rsid w:val="00477B80"/>
    <w:rsid w:val="004A558E"/>
    <w:rsid w:val="004F1711"/>
    <w:rsid w:val="00536503"/>
    <w:rsid w:val="00597DE7"/>
    <w:rsid w:val="005C3464"/>
    <w:rsid w:val="00745C16"/>
    <w:rsid w:val="007D6FFB"/>
    <w:rsid w:val="007E25E3"/>
    <w:rsid w:val="00A23547"/>
    <w:rsid w:val="00C51F7B"/>
    <w:rsid w:val="00D75CBD"/>
    <w:rsid w:val="00DC180F"/>
    <w:rsid w:val="00DE2BF8"/>
    <w:rsid w:val="00EE5D52"/>
    <w:rsid w:val="00F4025A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2AD7EE-5D92-4926-98B5-77F16F9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BF8"/>
  </w:style>
  <w:style w:type="paragraph" w:styleId="a5">
    <w:name w:val="footer"/>
    <w:basedOn w:val="a"/>
    <w:link w:val="a6"/>
    <w:uiPriority w:val="99"/>
    <w:unhideWhenUsed/>
    <w:rsid w:val="00DE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BF8"/>
  </w:style>
  <w:style w:type="character" w:customStyle="1" w:styleId="apple-converted-space">
    <w:name w:val="apple-converted-space"/>
    <w:basedOn w:val="a0"/>
    <w:rsid w:val="007D6FFB"/>
  </w:style>
  <w:style w:type="character" w:styleId="a7">
    <w:name w:val="Hyperlink"/>
    <w:basedOn w:val="a0"/>
    <w:uiPriority w:val="99"/>
    <w:unhideWhenUsed/>
    <w:rsid w:val="007D6FFB"/>
    <w:rPr>
      <w:color w:val="0000FF"/>
      <w:u w:val="single"/>
    </w:rPr>
  </w:style>
  <w:style w:type="character" w:customStyle="1" w:styleId="il">
    <w:name w:val="il"/>
    <w:basedOn w:val="a0"/>
    <w:rsid w:val="007D6FFB"/>
  </w:style>
  <w:style w:type="table" w:styleId="a8">
    <w:name w:val="Table Grid"/>
    <w:basedOn w:val="a1"/>
    <w:uiPriority w:val="39"/>
    <w:rsid w:val="00C5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PYCTAM</dc:creator>
  <cp:keywords/>
  <dc:description/>
  <cp:lastModifiedBy>AGMP-005</cp:lastModifiedBy>
  <cp:revision>2</cp:revision>
  <dcterms:created xsi:type="dcterms:W3CDTF">2018-08-09T06:52:00Z</dcterms:created>
  <dcterms:modified xsi:type="dcterms:W3CDTF">2018-08-09T06:52:00Z</dcterms:modified>
</cp:coreProperties>
</file>