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D5" w:rsidRDefault="004158D5" w:rsidP="004158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4158D5" w:rsidRDefault="00041F90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29 марта</w:t>
      </w:r>
      <w:r w:rsidR="00536503">
        <w:rPr>
          <w:b/>
          <w:sz w:val="24"/>
          <w:szCs w:val="24"/>
        </w:rPr>
        <w:t xml:space="preserve"> </w:t>
      </w:r>
      <w:r w:rsidR="004158D5">
        <w:rPr>
          <w:b/>
          <w:sz w:val="24"/>
          <w:szCs w:val="24"/>
        </w:rPr>
        <w:t>201</w:t>
      </w:r>
      <w:r w:rsidR="004F1711">
        <w:rPr>
          <w:b/>
          <w:sz w:val="24"/>
          <w:szCs w:val="24"/>
        </w:rPr>
        <w:t>8</w:t>
      </w:r>
      <w:r w:rsidR="004158D5">
        <w:rPr>
          <w:b/>
          <w:sz w:val="24"/>
          <w:szCs w:val="24"/>
        </w:rPr>
        <w:t xml:space="preserve"> г.</w:t>
      </w:r>
    </w:p>
    <w:p w:rsidR="004158D5" w:rsidRDefault="00536503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158D5">
        <w:rPr>
          <w:b/>
          <w:sz w:val="24"/>
          <w:szCs w:val="24"/>
        </w:rPr>
        <w:t>. Астана</w:t>
      </w:r>
    </w:p>
    <w:p w:rsidR="00041F90" w:rsidRPr="00041F90" w:rsidRDefault="00041F90" w:rsidP="00041F90">
      <w:pPr>
        <w:jc w:val="center"/>
        <w:rPr>
          <w:b/>
          <w:sz w:val="24"/>
          <w:szCs w:val="24"/>
        </w:rPr>
      </w:pPr>
      <w:bookmarkStart w:id="0" w:name="_GoBack"/>
      <w:r w:rsidRPr="00041F90">
        <w:rPr>
          <w:b/>
          <w:sz w:val="24"/>
          <w:szCs w:val="24"/>
        </w:rPr>
        <w:t>Экологические платежи — на внедрение «зеленых» технологий</w:t>
      </w:r>
    </w:p>
    <w:bookmarkEnd w:id="0"/>
    <w:p w:rsidR="00041F90" w:rsidRPr="00041F90" w:rsidRDefault="00041F90" w:rsidP="00041F90">
      <w:pPr>
        <w:jc w:val="both"/>
        <w:rPr>
          <w:b/>
          <w:sz w:val="24"/>
          <w:szCs w:val="24"/>
        </w:rPr>
      </w:pPr>
      <w:r w:rsidRPr="00041F90">
        <w:rPr>
          <w:b/>
          <w:sz w:val="24"/>
          <w:szCs w:val="24"/>
        </w:rPr>
        <w:t xml:space="preserve">Существующая система государственного экологического регулирования не создает стимулов для полноценного осуществления предпринимателями природоохранных мероприятий. Для внедрения нового порядка использования экологических платежей необходимо внести изменения в экологическое законодательство и Бюджетный кодекс. С таким предложением исполнительный директор Республиканской ассоциации горнодобывающих и горно-металлургических предприятий Николай </w:t>
      </w:r>
      <w:proofErr w:type="spellStart"/>
      <w:r w:rsidRPr="00041F90">
        <w:rPr>
          <w:b/>
          <w:sz w:val="24"/>
          <w:szCs w:val="24"/>
        </w:rPr>
        <w:t>Радостовец</w:t>
      </w:r>
      <w:proofErr w:type="spellEnd"/>
      <w:r w:rsidRPr="00041F90">
        <w:rPr>
          <w:b/>
          <w:sz w:val="24"/>
          <w:szCs w:val="24"/>
        </w:rPr>
        <w:t xml:space="preserve"> выступил на прошедшем в Темиртау «круглом столе», посвященном оздоровлению окружающей среды г. Темиртау и промышленных городов Карагандинской области.</w:t>
      </w:r>
    </w:p>
    <w:p w:rsidR="00041F90" w:rsidRPr="00041F90" w:rsidRDefault="00041F90" w:rsidP="00041F90">
      <w:pPr>
        <w:jc w:val="both"/>
        <w:rPr>
          <w:sz w:val="24"/>
          <w:szCs w:val="24"/>
        </w:rPr>
      </w:pPr>
      <w:r w:rsidRPr="00041F90">
        <w:rPr>
          <w:sz w:val="24"/>
          <w:szCs w:val="24"/>
        </w:rPr>
        <w:t xml:space="preserve">В работе «круглого стола», организованного </w:t>
      </w:r>
      <w:proofErr w:type="spellStart"/>
      <w:r w:rsidRPr="00041F90">
        <w:rPr>
          <w:sz w:val="24"/>
          <w:szCs w:val="24"/>
        </w:rPr>
        <w:t>акиматом</w:t>
      </w:r>
      <w:proofErr w:type="spellEnd"/>
      <w:r w:rsidRPr="00041F90">
        <w:rPr>
          <w:sz w:val="24"/>
          <w:szCs w:val="24"/>
        </w:rPr>
        <w:t xml:space="preserve"> Карагандинской области и Ассоциацией экологических организаций Казахстана, приняли участие руководители и представители центральных и местных государственных органов, международных организаций, бизнеса, неправительственных организаций, общественности, экспертного экологического сообщества.</w:t>
      </w:r>
    </w:p>
    <w:p w:rsidR="00041F90" w:rsidRPr="00041F90" w:rsidRDefault="00041F90" w:rsidP="00041F90">
      <w:pPr>
        <w:jc w:val="both"/>
        <w:rPr>
          <w:sz w:val="24"/>
          <w:szCs w:val="24"/>
        </w:rPr>
      </w:pPr>
      <w:r w:rsidRPr="00041F90">
        <w:rPr>
          <w:sz w:val="24"/>
          <w:szCs w:val="24"/>
        </w:rPr>
        <w:t xml:space="preserve">В своем выступлении руководитель АГМП выразил поддержку инициативе </w:t>
      </w:r>
      <w:proofErr w:type="spellStart"/>
      <w:r w:rsidRPr="00041F90">
        <w:rPr>
          <w:sz w:val="24"/>
          <w:szCs w:val="24"/>
        </w:rPr>
        <w:t>акимата</w:t>
      </w:r>
      <w:proofErr w:type="spellEnd"/>
      <w:r w:rsidRPr="00041F90">
        <w:rPr>
          <w:sz w:val="24"/>
          <w:szCs w:val="24"/>
        </w:rPr>
        <w:t xml:space="preserve"> Карагандинской области по всестороннему обсуждению вопросов экологической безопасности с участием всех заинтересованных сторон.</w:t>
      </w:r>
    </w:p>
    <w:p w:rsidR="00041F90" w:rsidRPr="00041F90" w:rsidRDefault="00041F90" w:rsidP="00041F90">
      <w:pPr>
        <w:jc w:val="both"/>
        <w:rPr>
          <w:sz w:val="24"/>
          <w:szCs w:val="24"/>
        </w:rPr>
      </w:pPr>
      <w:r w:rsidRPr="00041F90">
        <w:rPr>
          <w:sz w:val="24"/>
          <w:szCs w:val="24"/>
        </w:rPr>
        <w:t>Отметив значимость принятого местными исполнительными органами Комплексного плана по оздоровлению окружающей среды г. Темиртау, он заострил внимание на экологических проблемах Карагандинской области.</w:t>
      </w:r>
    </w:p>
    <w:p w:rsidR="00041F90" w:rsidRPr="00041F90" w:rsidRDefault="00041F90" w:rsidP="00041F90">
      <w:pPr>
        <w:jc w:val="both"/>
        <w:rPr>
          <w:sz w:val="24"/>
          <w:szCs w:val="24"/>
        </w:rPr>
      </w:pPr>
      <w:r w:rsidRPr="00041F90">
        <w:rPr>
          <w:sz w:val="24"/>
          <w:szCs w:val="24"/>
        </w:rPr>
        <w:t>На сегодня в регионе действует более 200 предприятий первой категории с высоким уровнем воздействия на окружающую среду. И их количество, по прогнозам, в ближайшие 5-10 лет будет увеличиваться. А это повлечет за собой повышение нагрузки на окружающую среду в результате увеличения объемов эмиссий в виде отвалов вскрышных пород, хвостов обогащения, сброса шахтных и карьерных вод, выбросов токсичных веществ и т. д.</w:t>
      </w:r>
    </w:p>
    <w:p w:rsidR="00041F90" w:rsidRPr="00041F90" w:rsidRDefault="00041F90" w:rsidP="00041F90">
      <w:pPr>
        <w:jc w:val="both"/>
        <w:rPr>
          <w:sz w:val="24"/>
          <w:szCs w:val="24"/>
        </w:rPr>
      </w:pPr>
      <w:r w:rsidRPr="00041F90">
        <w:rPr>
          <w:sz w:val="24"/>
          <w:szCs w:val="24"/>
        </w:rPr>
        <w:t>Согласно информационному бюллетеню о состоянии окружающей среды за 2017 год, подготовленному Министерством энергетики РК, в Карагандинской области сохраняется высокий уровень загрязнения, и по сравнению с 2015 годом он не изменился, при том, что выбросы загрязняющих веществ по области составляют около 25% от всего объема выбросов по Казахстану.</w:t>
      </w:r>
    </w:p>
    <w:p w:rsidR="00041F90" w:rsidRPr="00041F90" w:rsidRDefault="00041F90" w:rsidP="00041F90">
      <w:pPr>
        <w:jc w:val="both"/>
        <w:rPr>
          <w:sz w:val="24"/>
          <w:szCs w:val="24"/>
        </w:rPr>
      </w:pPr>
      <w:r w:rsidRPr="00041F90">
        <w:rPr>
          <w:sz w:val="24"/>
          <w:szCs w:val="24"/>
        </w:rPr>
        <w:t>Вместе с тем, по официальным данным, с 2013 по 2016 годы Карагандинскую область покинуло в общей сложности 147 329 человек. С каждым годом количество выезжающих из региона растет. Одна из причин тому – экологическое состояние региона. Это свидетельствует о необходимости принятия решительных мер по урегулированию экологической обстановки в области.</w:t>
      </w:r>
    </w:p>
    <w:p w:rsidR="00041F90" w:rsidRPr="00041F90" w:rsidRDefault="00041F90" w:rsidP="00041F90">
      <w:pPr>
        <w:jc w:val="both"/>
        <w:rPr>
          <w:sz w:val="24"/>
          <w:szCs w:val="24"/>
        </w:rPr>
      </w:pPr>
      <w:r w:rsidRPr="00041F90">
        <w:rPr>
          <w:sz w:val="24"/>
          <w:szCs w:val="24"/>
        </w:rPr>
        <w:t xml:space="preserve">— В Послании народу Казахстана Президент РК очень своевременно поручил переосмыслить экологическую политику управления ресурсами, — подчеркнул Н. </w:t>
      </w:r>
      <w:proofErr w:type="spellStart"/>
      <w:r w:rsidRPr="00041F90">
        <w:rPr>
          <w:sz w:val="24"/>
          <w:szCs w:val="24"/>
        </w:rPr>
        <w:t>Радостовец</w:t>
      </w:r>
      <w:proofErr w:type="spellEnd"/>
      <w:r w:rsidRPr="00041F90">
        <w:rPr>
          <w:sz w:val="24"/>
          <w:szCs w:val="24"/>
        </w:rPr>
        <w:t xml:space="preserve">. – Сегодня компаниям ГМК выгоднее направлять </w:t>
      </w:r>
      <w:r w:rsidRPr="00041F90">
        <w:rPr>
          <w:sz w:val="24"/>
          <w:szCs w:val="24"/>
        </w:rPr>
        <w:lastRenderedPageBreak/>
        <w:t xml:space="preserve">средства в виде экологических платежей, штрафов, нежели в улучшение экологической ситуации. Это же неправильно, когда, допустим, </w:t>
      </w:r>
      <w:proofErr w:type="spellStart"/>
      <w:r w:rsidRPr="00041F90">
        <w:rPr>
          <w:sz w:val="24"/>
          <w:szCs w:val="24"/>
        </w:rPr>
        <w:t>АрселорМиттал</w:t>
      </w:r>
      <w:proofErr w:type="spellEnd"/>
      <w:r w:rsidRPr="00041F90">
        <w:rPr>
          <w:sz w:val="24"/>
          <w:szCs w:val="24"/>
        </w:rPr>
        <w:t xml:space="preserve"> Темиртау ежегодно платит 10 млн долларов в местный бюджет в виде экологических платежей, и только порядка 1% из этих средств используется на экологические нужды. Эти деньги нужны для того, чтобы источник загрязнения внедрил «зеленые» технологии, установил очистные сооружения, перешел на газ, отказался от технологий, загрязняющих окружающую среду.</w:t>
      </w:r>
    </w:p>
    <w:p w:rsidR="00041F90" w:rsidRPr="00041F90" w:rsidRDefault="00041F90" w:rsidP="00041F90">
      <w:pPr>
        <w:jc w:val="both"/>
        <w:rPr>
          <w:sz w:val="24"/>
          <w:szCs w:val="24"/>
        </w:rPr>
      </w:pPr>
      <w:r w:rsidRPr="00041F90">
        <w:rPr>
          <w:sz w:val="24"/>
          <w:szCs w:val="24"/>
        </w:rPr>
        <w:t xml:space="preserve">По словам исполнительного директора АГМП, необходимо предусмотреть механизм целевого использования экологических платежей на природоохранные мероприятия самими </w:t>
      </w:r>
      <w:proofErr w:type="spellStart"/>
      <w:r w:rsidRPr="00041F90">
        <w:rPr>
          <w:sz w:val="24"/>
          <w:szCs w:val="24"/>
        </w:rPr>
        <w:t>природопользователями</w:t>
      </w:r>
      <w:proofErr w:type="spellEnd"/>
      <w:r w:rsidRPr="00041F90">
        <w:rPr>
          <w:sz w:val="24"/>
          <w:szCs w:val="24"/>
        </w:rPr>
        <w:t xml:space="preserve">. Он предложил предусмотреть поэтапный подход с вовлечением экологических платежей в реализацию масштабных природоохранных мероприятий </w:t>
      </w:r>
      <w:proofErr w:type="spellStart"/>
      <w:r w:rsidRPr="00041F90">
        <w:rPr>
          <w:sz w:val="24"/>
          <w:szCs w:val="24"/>
        </w:rPr>
        <w:t>природопользователей</w:t>
      </w:r>
      <w:proofErr w:type="spellEnd"/>
      <w:r w:rsidRPr="00041F90">
        <w:rPr>
          <w:sz w:val="24"/>
          <w:szCs w:val="24"/>
        </w:rPr>
        <w:t>, начиная с 2019 года, на 25%, с 2020 года — 50%, с 2021 — 75%, с 2022 года — 100% от размера выплат за эмиссии.</w:t>
      </w:r>
    </w:p>
    <w:p w:rsidR="00041F90" w:rsidRPr="00041F90" w:rsidRDefault="00041F90" w:rsidP="00041F90">
      <w:pPr>
        <w:jc w:val="both"/>
        <w:rPr>
          <w:sz w:val="24"/>
          <w:szCs w:val="24"/>
        </w:rPr>
      </w:pPr>
      <w:r w:rsidRPr="00041F90">
        <w:rPr>
          <w:sz w:val="24"/>
          <w:szCs w:val="24"/>
        </w:rPr>
        <w:t xml:space="preserve">Экологические платежи не должны оставаться частью налоговых поступлений в бюджет, считает глава ассоциации. Согласно предложенной схеме средства для местных бюджетов должны компенсироваться трансфертом из республиканского бюджета. Расходование средств должно находиться под контролем общественности, </w:t>
      </w:r>
      <w:proofErr w:type="spellStart"/>
      <w:r w:rsidRPr="00041F90">
        <w:rPr>
          <w:sz w:val="24"/>
          <w:szCs w:val="24"/>
        </w:rPr>
        <w:t>акимата</w:t>
      </w:r>
      <w:proofErr w:type="spellEnd"/>
      <w:r w:rsidRPr="00041F90">
        <w:rPr>
          <w:sz w:val="24"/>
          <w:szCs w:val="24"/>
        </w:rPr>
        <w:t>, Министерства энергетики. Для реализации этого механизма необходимо внести соответствующие изменения и дополнения в Бюджетное и сопутствующее законодательство, в том числе Экологический кодекс.</w:t>
      </w:r>
    </w:p>
    <w:p w:rsidR="00041F90" w:rsidRPr="00041F90" w:rsidRDefault="00041F90" w:rsidP="00041F90">
      <w:pPr>
        <w:jc w:val="both"/>
        <w:rPr>
          <w:sz w:val="24"/>
          <w:szCs w:val="24"/>
        </w:rPr>
      </w:pPr>
      <w:r w:rsidRPr="00041F90">
        <w:rPr>
          <w:sz w:val="24"/>
          <w:szCs w:val="24"/>
        </w:rPr>
        <w:t xml:space="preserve">Резюмируя, Н. В. </w:t>
      </w:r>
      <w:proofErr w:type="spellStart"/>
      <w:r w:rsidRPr="00041F90">
        <w:rPr>
          <w:sz w:val="24"/>
          <w:szCs w:val="24"/>
        </w:rPr>
        <w:t>Радостовец</w:t>
      </w:r>
      <w:proofErr w:type="spellEnd"/>
      <w:r w:rsidRPr="00041F90">
        <w:rPr>
          <w:sz w:val="24"/>
          <w:szCs w:val="24"/>
        </w:rPr>
        <w:t xml:space="preserve"> подчеркнул, что уход от фискальной направленности действующего законодательства и переход на стимулирование предприятий к внедрению «зеленых» технологий позволят кардинально изменить систему экологического регулирования. Он предложил руководству </w:t>
      </w:r>
      <w:proofErr w:type="spellStart"/>
      <w:r w:rsidRPr="00041F90">
        <w:rPr>
          <w:sz w:val="24"/>
          <w:szCs w:val="24"/>
        </w:rPr>
        <w:t>акимата</w:t>
      </w:r>
      <w:proofErr w:type="spellEnd"/>
      <w:r w:rsidRPr="00041F90">
        <w:rPr>
          <w:sz w:val="24"/>
          <w:szCs w:val="24"/>
        </w:rPr>
        <w:t xml:space="preserve"> и общественности Карагандинской области поддержать данную инициативу АГМП.</w:t>
      </w:r>
    </w:p>
    <w:p w:rsidR="00F4025A" w:rsidRPr="004F1711" w:rsidRDefault="00F4025A" w:rsidP="00041F90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Пресс</w:t>
      </w:r>
      <w:r w:rsidRPr="004F1711">
        <w:rPr>
          <w:b/>
          <w:sz w:val="24"/>
          <w:szCs w:val="24"/>
        </w:rPr>
        <w:t>-</w:t>
      </w:r>
      <w:r w:rsidRPr="00F4025A">
        <w:rPr>
          <w:b/>
          <w:sz w:val="24"/>
          <w:szCs w:val="24"/>
        </w:rPr>
        <w:t>служба</w:t>
      </w:r>
      <w:r w:rsidRPr="004F1711">
        <w:rPr>
          <w:b/>
          <w:sz w:val="24"/>
          <w:szCs w:val="24"/>
        </w:rPr>
        <w:t xml:space="preserve"> </w:t>
      </w:r>
      <w:r w:rsidRPr="00F4025A">
        <w:rPr>
          <w:b/>
          <w:sz w:val="24"/>
          <w:szCs w:val="24"/>
        </w:rPr>
        <w:t>АГМП</w:t>
      </w:r>
    </w:p>
    <w:p w:rsidR="00F4025A" w:rsidRPr="004F1711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Тел</w:t>
      </w:r>
      <w:r w:rsidRPr="004F1711">
        <w:rPr>
          <w:sz w:val="24"/>
          <w:szCs w:val="24"/>
        </w:rPr>
        <w:t>.: 8 (7172) 689</w:t>
      </w:r>
      <w:r>
        <w:rPr>
          <w:sz w:val="24"/>
          <w:szCs w:val="24"/>
          <w:lang w:val="en-US"/>
        </w:rPr>
        <w:t> </w:t>
      </w:r>
      <w:r w:rsidRPr="004F1711">
        <w:rPr>
          <w:sz w:val="24"/>
          <w:szCs w:val="24"/>
        </w:rPr>
        <w:t>6</w:t>
      </w:r>
      <w:r>
        <w:rPr>
          <w:sz w:val="24"/>
          <w:szCs w:val="24"/>
        </w:rPr>
        <w:t>05</w:t>
      </w:r>
      <w:r w:rsidRPr="004F1711">
        <w:rPr>
          <w:sz w:val="24"/>
          <w:szCs w:val="24"/>
        </w:rPr>
        <w:t xml:space="preserve"> </w:t>
      </w:r>
    </w:p>
    <w:p w:rsidR="00F4025A" w:rsidRDefault="00EE5D52" w:rsidP="00F4025A">
      <w:pPr>
        <w:jc w:val="both"/>
        <w:rPr>
          <w:sz w:val="24"/>
          <w:szCs w:val="24"/>
        </w:rPr>
      </w:pPr>
      <w:r>
        <w:rPr>
          <w:sz w:val="24"/>
          <w:szCs w:val="24"/>
        </w:rPr>
        <w:t>8 701 027 89 74</w:t>
      </w:r>
    </w:p>
    <w:p w:rsidR="00041F90" w:rsidRDefault="00041F90" w:rsidP="00F4025A">
      <w:pPr>
        <w:jc w:val="both"/>
        <w:rPr>
          <w:b/>
          <w:sz w:val="24"/>
          <w:szCs w:val="24"/>
        </w:rPr>
      </w:pPr>
    </w:p>
    <w:p w:rsidR="00F4025A" w:rsidRPr="00F4025A" w:rsidRDefault="00F4025A" w:rsidP="00F4025A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Об АГМП</w:t>
      </w:r>
    </w:p>
    <w:p w:rsidR="00F4025A" w:rsidRPr="00F4025A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 xml:space="preserve">ОЮЛ «Ассоциация горнодобывающих и горно-металлургических предприятий» создана в 2005 году по инициативе предприятий горнорудного сектора Республики Казахстан. На сегодняшний день АГМП является крупнейшим отраслевым объединением Казахстана, в состав которого входят более </w:t>
      </w:r>
      <w:r>
        <w:rPr>
          <w:sz w:val="24"/>
          <w:szCs w:val="24"/>
        </w:rPr>
        <w:t>100</w:t>
      </w:r>
      <w:r w:rsidRPr="00F4025A">
        <w:rPr>
          <w:sz w:val="24"/>
          <w:szCs w:val="24"/>
        </w:rPr>
        <w:t xml:space="preserve"> компаний черной и цветной металлургии, урановой и угольной промышленности.</w:t>
      </w:r>
    </w:p>
    <w:p w:rsidR="004A558E" w:rsidRPr="004158D5" w:rsidRDefault="00F4025A" w:rsidP="004F1711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Ассоциация аккредитована в Национальной палате предпринимателей, а также в 7 министерствах и ведомствах,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партнерства.</w:t>
      </w:r>
    </w:p>
    <w:sectPr w:rsidR="004A558E" w:rsidRPr="004158D5" w:rsidSect="00C51F7B">
      <w:headerReference w:type="default" r:id="rId6"/>
      <w:footerReference w:type="default" r:id="rId7"/>
      <w:pgSz w:w="11906" w:h="16838"/>
      <w:pgMar w:top="1134" w:right="140" w:bottom="1134" w:left="142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56" w:rsidRDefault="00363956" w:rsidP="00DE2BF8">
      <w:pPr>
        <w:spacing w:after="0" w:line="240" w:lineRule="auto"/>
      </w:pPr>
      <w:r>
        <w:separator/>
      </w:r>
    </w:p>
  </w:endnote>
  <w:endnote w:type="continuationSeparator" w:id="0">
    <w:p w:rsidR="00363956" w:rsidRDefault="00363956" w:rsidP="00DE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7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ACE1C" wp14:editId="7271D56C">
              <wp:simplePos x="0" y="0"/>
              <wp:positionH relativeFrom="column">
                <wp:posOffset>-106045</wp:posOffset>
              </wp:positionH>
              <wp:positionV relativeFrom="paragraph">
                <wp:posOffset>49199</wp:posOffset>
              </wp:positionV>
              <wp:extent cx="7593496" cy="0"/>
              <wp:effectExtent l="0" t="19050" r="26670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C2E20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.85pt" to="58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" strokecolor="#00b0f0" strokeweight="2.75pt">
              <v:stroke joinstyle="miter"/>
            </v:line>
          </w:pict>
        </mc:Fallback>
      </mc:AlternateContent>
    </w:r>
  </w:p>
  <w:p w:rsidR="00DE2BF8" w:rsidRPr="007D6FF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F8C33F1" wp14:editId="00B169DD">
          <wp:simplePos x="0" y="0"/>
          <wp:positionH relativeFrom="column">
            <wp:posOffset>5952655</wp:posOffset>
          </wp:positionH>
          <wp:positionV relativeFrom="paragraph">
            <wp:posOffset>37465</wp:posOffset>
          </wp:positionV>
          <wp:extent cx="1463040" cy="1371553"/>
          <wp:effectExtent l="0" t="0" r="3810" b="63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371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BF8" w:rsidRPr="007D6FFB"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  <w:t>Пресс служба АГМП</w:t>
    </w:r>
  </w:p>
  <w:p w:rsidR="007D6FFB" w:rsidRPr="007D6FFB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</w:p>
  <w:p w:rsidR="007D6FFB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 xml:space="preserve">РЕСПУБЛИКАНСКАЯ АССОЦИАЦИЯ ГОРНОДОБЫВАЮЩИХ </w:t>
    </w:r>
  </w:p>
  <w:p w:rsidR="00DE2BF8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>И ГОРНО-МЕТАЛЛУРГИЧЕСКИХ ПРЕДПРИЯТИЙ</w:t>
    </w:r>
  </w:p>
  <w:p w:rsidR="00DE2BF8" w:rsidRPr="00DE2BF8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93017" wp14:editId="4736D37F">
              <wp:simplePos x="0" y="0"/>
              <wp:positionH relativeFrom="column">
                <wp:posOffset>-106045</wp:posOffset>
              </wp:positionH>
              <wp:positionV relativeFrom="paragraph">
                <wp:posOffset>98756</wp:posOffset>
              </wp:positionV>
              <wp:extent cx="3705308" cy="0"/>
              <wp:effectExtent l="0" t="1905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308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752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7.8pt" to="283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" strokecolor="#00b0f0" strokeweight="2.75pt">
              <v:stroke joinstyle="miter"/>
            </v:line>
          </w:pict>
        </mc:Fallback>
      </mc:AlternateContent>
    </w:r>
  </w:p>
  <w:p w:rsidR="00DE2BF8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val="kk-KZ" w:eastAsia="ru-RU"/>
      </w:rPr>
    </w:pPr>
  </w:p>
  <w:tbl>
    <w:tblPr>
      <w:tblStyle w:val="a8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52"/>
    </w:tblGrid>
    <w:tr w:rsidR="00C51F7B" w:rsidTr="00C51F7B">
      <w:trPr>
        <w:trHeight w:val="247"/>
      </w:trPr>
      <w:tc>
        <w:tcPr>
          <w:tcW w:w="2835" w:type="dxa"/>
        </w:tcPr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Т: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</w:t>
          </w:r>
          <w:r w:rsidRPr="007E25E3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 xml:space="preserve">) </w:t>
          </w:r>
          <w:r w:rsidRPr="004158D5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689 601</w:t>
          </w:r>
        </w:p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Ф:</w:t>
          </w:r>
          <w:r w:rsidRPr="00C51F7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(7172)</w:t>
          </w:r>
          <w:r w:rsidRPr="00C51F7B">
            <w:rPr>
              <w:rFonts w:ascii="Arial" w:hAnsi="Arial" w:cs="Arial"/>
              <w:noProof/>
              <w:sz w:val="18"/>
              <w:szCs w:val="18"/>
              <w:lang w:eastAsia="ru-RU"/>
            </w:rPr>
            <w:t xml:space="preserve"> </w:t>
          </w:r>
          <w:r w:rsidRPr="004158D5">
            <w:rPr>
              <w:rFonts w:ascii="Arial" w:hAnsi="Arial" w:cs="Arial"/>
              <w:noProof/>
              <w:color w:val="525252" w:themeColor="accent3" w:themeShade="80"/>
              <w:sz w:val="18"/>
              <w:szCs w:val="18"/>
              <w:lang w:eastAsia="ru-RU"/>
            </w:rPr>
            <w:t>689 602</w:t>
          </w:r>
        </w:p>
        <w:p w:rsidR="00C51F7B" w:rsidRPr="007D6FFB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val="en-US" w:eastAsia="ru-RU"/>
            </w:rPr>
            <w:t>E</w:t>
          </w: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: 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agmp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info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@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gmail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com</w:t>
          </w:r>
        </w:p>
        <w:p w:rsidR="00C51F7B" w:rsidRDefault="00C51F7B" w:rsidP="007D6FFB">
          <w:pPr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</w:pPr>
        </w:p>
      </w:tc>
      <w:tc>
        <w:tcPr>
          <w:tcW w:w="2852" w:type="dxa"/>
        </w:tcPr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Республика Казахстан,</w:t>
          </w:r>
        </w:p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г. Астана, ул. Д. Кунаева 12/1</w:t>
          </w:r>
        </w:p>
        <w:p w:rsidR="00C51F7B" w:rsidRPr="007E25E3" w:rsidRDefault="007E25E3" w:rsidP="007D6FFB">
          <w:pPr>
            <w:rPr>
              <w:rFonts w:ascii="Arial" w:hAnsi="Arial" w:cs="Arial"/>
              <w:sz w:val="18"/>
              <w:szCs w:val="18"/>
            </w:rPr>
          </w:pPr>
          <w:r w:rsidRPr="007E25E3">
            <w:rPr>
              <w:rFonts w:ascii="Arial" w:hAnsi="Arial" w:cs="Arial"/>
              <w:color w:val="00B0F0"/>
              <w:sz w:val="18"/>
              <w:szCs w:val="18"/>
            </w:rPr>
            <w:t>www.agmp.kz</w:t>
          </w:r>
        </w:p>
      </w:tc>
    </w:tr>
  </w:tbl>
  <w:p w:rsidR="00C51F7B" w:rsidRDefault="00C51F7B" w:rsidP="00C51F7B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56" w:rsidRDefault="00363956" w:rsidP="00DE2BF8">
      <w:pPr>
        <w:spacing w:after="0" w:line="240" w:lineRule="auto"/>
      </w:pPr>
      <w:r>
        <w:separator/>
      </w:r>
    </w:p>
  </w:footnote>
  <w:footnote w:type="continuationSeparator" w:id="0">
    <w:p w:rsidR="00363956" w:rsidRDefault="00363956" w:rsidP="00DE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0AA7FC08" wp14:editId="697C638B">
          <wp:simplePos x="0" y="0"/>
          <wp:positionH relativeFrom="column">
            <wp:posOffset>3220589</wp:posOffset>
          </wp:positionH>
          <wp:positionV relativeFrom="paragraph">
            <wp:posOffset>-291924</wp:posOffset>
          </wp:positionV>
          <wp:extent cx="756771" cy="709448"/>
          <wp:effectExtent l="0" t="0" r="571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75" cy="71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</w:p>
  <w:p w:rsidR="00DE2BF8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B9CE9D" wp14:editId="05381EC0">
              <wp:simplePos x="0" y="0"/>
              <wp:positionH relativeFrom="column">
                <wp:posOffset>-119190</wp:posOffset>
              </wp:positionH>
              <wp:positionV relativeFrom="paragraph">
                <wp:posOffset>86995</wp:posOffset>
              </wp:positionV>
              <wp:extent cx="7593496" cy="0"/>
              <wp:effectExtent l="0" t="19050" r="26670" b="1905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C7C3F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6.85pt" to="58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" strokecolor="#00b0f0" strokeweight="2.75pt">
              <v:stroke joinstyle="miter"/>
            </v:line>
          </w:pict>
        </mc:Fallback>
      </mc:AlternateContent>
    </w:r>
    <w:r>
      <w:tab/>
    </w:r>
  </w:p>
  <w:p w:rsidR="00DE2BF8" w:rsidRDefault="00DE2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8"/>
    <w:rsid w:val="00024589"/>
    <w:rsid w:val="00041F90"/>
    <w:rsid w:val="001B7AAE"/>
    <w:rsid w:val="0020722B"/>
    <w:rsid w:val="00363956"/>
    <w:rsid w:val="003C428F"/>
    <w:rsid w:val="004158D5"/>
    <w:rsid w:val="00434963"/>
    <w:rsid w:val="00477B80"/>
    <w:rsid w:val="004A558E"/>
    <w:rsid w:val="004F1711"/>
    <w:rsid w:val="00536503"/>
    <w:rsid w:val="00597DE7"/>
    <w:rsid w:val="005D16EB"/>
    <w:rsid w:val="00745C16"/>
    <w:rsid w:val="007D6FFB"/>
    <w:rsid w:val="007E25E3"/>
    <w:rsid w:val="00A23547"/>
    <w:rsid w:val="00BD4EB1"/>
    <w:rsid w:val="00C51F7B"/>
    <w:rsid w:val="00D75CBD"/>
    <w:rsid w:val="00DC180F"/>
    <w:rsid w:val="00DE2BF8"/>
    <w:rsid w:val="00EE5D52"/>
    <w:rsid w:val="00F4025A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AD7EE-5D92-4926-98B5-77F16F9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BF8"/>
  </w:style>
  <w:style w:type="paragraph" w:styleId="a5">
    <w:name w:val="footer"/>
    <w:basedOn w:val="a"/>
    <w:link w:val="a6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BF8"/>
  </w:style>
  <w:style w:type="character" w:customStyle="1" w:styleId="apple-converted-space">
    <w:name w:val="apple-converted-space"/>
    <w:basedOn w:val="a0"/>
    <w:rsid w:val="007D6FFB"/>
  </w:style>
  <w:style w:type="character" w:styleId="a7">
    <w:name w:val="Hyperlink"/>
    <w:basedOn w:val="a0"/>
    <w:uiPriority w:val="99"/>
    <w:unhideWhenUsed/>
    <w:rsid w:val="007D6FFB"/>
    <w:rPr>
      <w:color w:val="0000FF"/>
      <w:u w:val="single"/>
    </w:rPr>
  </w:style>
  <w:style w:type="character" w:customStyle="1" w:styleId="il">
    <w:name w:val="il"/>
    <w:basedOn w:val="a0"/>
    <w:rsid w:val="007D6FFB"/>
  </w:style>
  <w:style w:type="table" w:styleId="a8">
    <w:name w:val="Table Grid"/>
    <w:basedOn w:val="a1"/>
    <w:uiPriority w:val="39"/>
    <w:rsid w:val="00C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PYCTAM</dc:creator>
  <cp:keywords/>
  <dc:description/>
  <cp:lastModifiedBy>AGMP-005</cp:lastModifiedBy>
  <cp:revision>2</cp:revision>
  <dcterms:created xsi:type="dcterms:W3CDTF">2018-08-09T06:41:00Z</dcterms:created>
  <dcterms:modified xsi:type="dcterms:W3CDTF">2018-08-09T06:41:00Z</dcterms:modified>
</cp:coreProperties>
</file>