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D5" w:rsidRDefault="004158D5" w:rsidP="004158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ПРЕСС-РЕЛИЗ</w:t>
      </w:r>
    </w:p>
    <w:p w:rsidR="004158D5" w:rsidRDefault="00CF331E" w:rsidP="0041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27 мая</w:t>
      </w:r>
      <w:r w:rsidR="00536503">
        <w:rPr>
          <w:b/>
          <w:sz w:val="24"/>
          <w:szCs w:val="24"/>
        </w:rPr>
        <w:t xml:space="preserve"> </w:t>
      </w:r>
      <w:r w:rsidR="004158D5">
        <w:rPr>
          <w:b/>
          <w:sz w:val="24"/>
          <w:szCs w:val="24"/>
        </w:rPr>
        <w:t>201</w:t>
      </w:r>
      <w:r w:rsidR="00E10E91">
        <w:rPr>
          <w:b/>
          <w:sz w:val="24"/>
          <w:szCs w:val="24"/>
        </w:rPr>
        <w:t>9</w:t>
      </w:r>
      <w:r w:rsidR="004158D5">
        <w:rPr>
          <w:b/>
          <w:sz w:val="24"/>
          <w:szCs w:val="24"/>
        </w:rPr>
        <w:t xml:space="preserve"> г.</w:t>
      </w:r>
    </w:p>
    <w:p w:rsidR="004158D5" w:rsidRDefault="00536503" w:rsidP="004158D5">
      <w:pPr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4158D5">
        <w:rPr>
          <w:b/>
          <w:sz w:val="24"/>
          <w:szCs w:val="24"/>
        </w:rPr>
        <w:t xml:space="preserve">. </w:t>
      </w:r>
      <w:proofErr w:type="spellStart"/>
      <w:r w:rsidR="00E10E91">
        <w:rPr>
          <w:b/>
          <w:sz w:val="24"/>
          <w:szCs w:val="24"/>
        </w:rPr>
        <w:t>Нур</w:t>
      </w:r>
      <w:proofErr w:type="spellEnd"/>
      <w:r w:rsidR="00E10E91">
        <w:rPr>
          <w:b/>
          <w:sz w:val="24"/>
          <w:szCs w:val="24"/>
        </w:rPr>
        <w:t>-Султан</w:t>
      </w:r>
    </w:p>
    <w:p w:rsidR="00386DEF" w:rsidRDefault="00386DEF" w:rsidP="00386DEF">
      <w:pPr>
        <w:jc w:val="both"/>
        <w:rPr>
          <w:b/>
          <w:sz w:val="24"/>
          <w:szCs w:val="24"/>
        </w:rPr>
      </w:pPr>
    </w:p>
    <w:p w:rsidR="00CF331E" w:rsidRPr="00CF331E" w:rsidRDefault="00CF331E" w:rsidP="00CF331E">
      <w:pPr>
        <w:jc w:val="center"/>
        <w:rPr>
          <w:b/>
          <w:sz w:val="24"/>
          <w:szCs w:val="24"/>
        </w:rPr>
      </w:pPr>
      <w:r w:rsidRPr="00CF331E">
        <w:rPr>
          <w:b/>
          <w:sz w:val="24"/>
          <w:szCs w:val="24"/>
        </w:rPr>
        <w:t>Промышленная безопасность как фактор роста производительности труда</w:t>
      </w:r>
    </w:p>
    <w:p w:rsidR="00CF331E" w:rsidRPr="00CF331E" w:rsidRDefault="00CF331E" w:rsidP="00CF331E">
      <w:pPr>
        <w:jc w:val="both"/>
        <w:rPr>
          <w:sz w:val="24"/>
          <w:szCs w:val="24"/>
        </w:rPr>
      </w:pPr>
      <w:r w:rsidRPr="00CF331E">
        <w:rPr>
          <w:sz w:val="24"/>
          <w:szCs w:val="24"/>
        </w:rPr>
        <w:t xml:space="preserve">На «круглом столе» «Актуальные вопросы охраны труда и промышленной безопасности на предприятиях горно-металлургической отрасли», состоявшемся в рамках IX Казахстанской Международной конференции по охране труда и промышленной безопасности — KIOSH 2019, с докладом на тему об обеспечении роста производительности горнодобывающих предприятий путем совершенствования требований по обеспечению промышленной безопасности выступил первый заместитель исполнительного директора Республиканской ассоциации горнодобывающих и горно-металлургических предприятий </w:t>
      </w:r>
      <w:proofErr w:type="spellStart"/>
      <w:r w:rsidRPr="00CF331E">
        <w:rPr>
          <w:sz w:val="24"/>
          <w:szCs w:val="24"/>
        </w:rPr>
        <w:t>Тулеген</w:t>
      </w:r>
      <w:proofErr w:type="spellEnd"/>
      <w:r w:rsidRPr="00CF331E">
        <w:rPr>
          <w:sz w:val="24"/>
          <w:szCs w:val="24"/>
        </w:rPr>
        <w:t xml:space="preserve"> </w:t>
      </w:r>
      <w:proofErr w:type="spellStart"/>
      <w:r w:rsidRPr="00CF331E">
        <w:rPr>
          <w:sz w:val="24"/>
          <w:szCs w:val="24"/>
        </w:rPr>
        <w:t>Муханов</w:t>
      </w:r>
      <w:proofErr w:type="spellEnd"/>
      <w:r w:rsidRPr="00CF331E">
        <w:rPr>
          <w:sz w:val="24"/>
          <w:szCs w:val="24"/>
        </w:rPr>
        <w:t>.</w:t>
      </w:r>
    </w:p>
    <w:p w:rsidR="00CF331E" w:rsidRPr="00CF331E" w:rsidRDefault="00CF331E" w:rsidP="00CF331E">
      <w:pPr>
        <w:jc w:val="both"/>
        <w:rPr>
          <w:sz w:val="24"/>
          <w:szCs w:val="24"/>
        </w:rPr>
      </w:pPr>
      <w:r w:rsidRPr="00CF331E">
        <w:rPr>
          <w:sz w:val="24"/>
          <w:szCs w:val="24"/>
        </w:rPr>
        <w:t>Характеризуя текущую ситуацию, он отметил, что вопросам обеспечения охраны и безопасности труда в горно-металлургической отрасли Казахстана уделяется особое внимание. Так, предприятия ежегодно закладывают средства на охрану труда с учетом анализа текущего уровня безопасности рабочих мест и мероприятий по уменьшению риска профессионального травматизма.</w:t>
      </w:r>
    </w:p>
    <w:p w:rsidR="00CF331E" w:rsidRPr="00CF331E" w:rsidRDefault="00CF331E" w:rsidP="00CF331E">
      <w:pPr>
        <w:jc w:val="both"/>
        <w:rPr>
          <w:sz w:val="24"/>
          <w:szCs w:val="24"/>
        </w:rPr>
      </w:pPr>
      <w:r w:rsidRPr="00CF331E">
        <w:rPr>
          <w:sz w:val="24"/>
          <w:szCs w:val="24"/>
        </w:rPr>
        <w:t xml:space="preserve">— Поскольку это один из важнейших вопросов деятельности горнодобывающих предприятий, в отраслевое соглашение, заключенное на 2018-2020 годы между АГМП, профсоюзами горно-металлургической промышленности и Министерством индустрии и инфраструктурного развития РК, включен раздел по безопасности и охране труда, — сказал он. – Так, в рамках отраслевого соглашения работодатель осуществляет за счет собственных средств обучение сотрудников, приобретение средств индивидуальной защиты, проводит автоматизацию рабочих мест на производстве, </w:t>
      </w:r>
      <w:proofErr w:type="spellStart"/>
      <w:r w:rsidRPr="00CF331E">
        <w:rPr>
          <w:sz w:val="24"/>
          <w:szCs w:val="24"/>
        </w:rPr>
        <w:t>предсменные</w:t>
      </w:r>
      <w:proofErr w:type="spellEnd"/>
      <w:r w:rsidRPr="00CF331E">
        <w:rPr>
          <w:sz w:val="24"/>
          <w:szCs w:val="24"/>
        </w:rPr>
        <w:t xml:space="preserve"> медосмотры.</w:t>
      </w:r>
    </w:p>
    <w:p w:rsidR="00CF331E" w:rsidRPr="00CF331E" w:rsidRDefault="00CF331E" w:rsidP="00CF331E">
      <w:pPr>
        <w:jc w:val="both"/>
        <w:rPr>
          <w:sz w:val="24"/>
          <w:szCs w:val="24"/>
        </w:rPr>
      </w:pPr>
      <w:r w:rsidRPr="00CF331E">
        <w:rPr>
          <w:sz w:val="24"/>
          <w:szCs w:val="24"/>
        </w:rPr>
        <w:t>Вместе с тем, по его словам, работодатель проводит аттестацию производственных объектов по условиям труда, возмещает работнику материальные расходы на проведение медицинского обследования в случае установления у него профессионального заболевания, выплачивает обязательные социальные выплаты в размере и порядке, предусмотренных коллективным договором либо актами работодателя.</w:t>
      </w:r>
    </w:p>
    <w:p w:rsidR="00CF331E" w:rsidRPr="00CF331E" w:rsidRDefault="00CF331E" w:rsidP="00CF331E">
      <w:pPr>
        <w:jc w:val="both"/>
        <w:rPr>
          <w:sz w:val="24"/>
          <w:szCs w:val="24"/>
        </w:rPr>
      </w:pPr>
      <w:r w:rsidRPr="00CF331E">
        <w:rPr>
          <w:sz w:val="24"/>
          <w:szCs w:val="24"/>
        </w:rPr>
        <w:t xml:space="preserve">В своем выступлении первый заместитель исполнительного директора АГМП обратил внимание на необходимость актуализации нормативно-правовых актов в области промышленной безопасности. По его словам, за прошедшие годы большая часть горнодобывающих предприятий провела работу по замене устаревшего оборудования на современное и внедрению передовых практик в </w:t>
      </w:r>
      <w:proofErr w:type="spellStart"/>
      <w:r w:rsidRPr="00CF331E">
        <w:rPr>
          <w:sz w:val="24"/>
          <w:szCs w:val="24"/>
        </w:rPr>
        <w:t>горнодобыче</w:t>
      </w:r>
      <w:proofErr w:type="spellEnd"/>
      <w:r w:rsidRPr="00CF331E">
        <w:rPr>
          <w:sz w:val="24"/>
          <w:szCs w:val="24"/>
        </w:rPr>
        <w:t>.</w:t>
      </w:r>
    </w:p>
    <w:p w:rsidR="00CF331E" w:rsidRPr="00CF331E" w:rsidRDefault="00CF331E" w:rsidP="00CF331E">
      <w:pPr>
        <w:jc w:val="both"/>
        <w:rPr>
          <w:sz w:val="24"/>
          <w:szCs w:val="24"/>
        </w:rPr>
      </w:pPr>
      <w:r w:rsidRPr="00CF331E">
        <w:rPr>
          <w:sz w:val="24"/>
          <w:szCs w:val="24"/>
        </w:rPr>
        <w:t xml:space="preserve">— Это позволило обеспечить стабильность в работе и снижение аварийности </w:t>
      </w:r>
      <w:proofErr w:type="spellStart"/>
      <w:r w:rsidRPr="00CF331E">
        <w:rPr>
          <w:sz w:val="24"/>
          <w:szCs w:val="24"/>
        </w:rPr>
        <w:t>горнодобычного</w:t>
      </w:r>
      <w:proofErr w:type="spellEnd"/>
      <w:r w:rsidRPr="00CF331E">
        <w:rPr>
          <w:sz w:val="24"/>
          <w:szCs w:val="24"/>
        </w:rPr>
        <w:t xml:space="preserve"> оборудования, — отметил он. — Тем не менее, по нашему мнению, потенциал данного оборудования используется не полностью. Одним из сдерживающих факторов являются действующие требования по промышленной безопасности, не учитывающие особенности внедряемого новейшего оборудования.</w:t>
      </w:r>
    </w:p>
    <w:p w:rsidR="00CF331E" w:rsidRPr="00CF331E" w:rsidRDefault="00CF331E" w:rsidP="00CF331E">
      <w:pPr>
        <w:jc w:val="both"/>
        <w:rPr>
          <w:sz w:val="24"/>
          <w:szCs w:val="24"/>
        </w:rPr>
      </w:pPr>
      <w:r w:rsidRPr="00CF331E">
        <w:rPr>
          <w:sz w:val="24"/>
          <w:szCs w:val="24"/>
        </w:rPr>
        <w:lastRenderedPageBreak/>
        <w:t>Устаревшие требования правил промышленной безопасности тормозят проведение модернизации предприятий, а также внедрение новых технологий для автоматизации производства, вследствие чего на предприятиях продолжает использоваться устаревшая техника, что напрямую влияет на безопасность работ, особенно в опасных условиях труда.</w:t>
      </w:r>
    </w:p>
    <w:p w:rsidR="00CF331E" w:rsidRPr="00CF331E" w:rsidRDefault="00CF331E" w:rsidP="00CF331E">
      <w:pPr>
        <w:jc w:val="both"/>
        <w:rPr>
          <w:sz w:val="24"/>
          <w:szCs w:val="24"/>
        </w:rPr>
      </w:pPr>
      <w:r w:rsidRPr="00CF331E">
        <w:rPr>
          <w:sz w:val="24"/>
          <w:szCs w:val="24"/>
        </w:rPr>
        <w:t>— Так, в 2018 году было допущено 27 аварий, при которых пострадали 17 человек, — привел пример спикер. — Основной причиной аварий была эксплуатация устаревшего оборудования. В таких условиях пересмотр и разработка требований по промышленной безопасности играют особую роль.</w:t>
      </w:r>
    </w:p>
    <w:p w:rsidR="00CF331E" w:rsidRPr="00CF331E" w:rsidRDefault="00CF331E" w:rsidP="00CF331E">
      <w:pPr>
        <w:jc w:val="both"/>
        <w:rPr>
          <w:sz w:val="24"/>
          <w:szCs w:val="24"/>
        </w:rPr>
      </w:pPr>
      <w:r w:rsidRPr="00CF331E">
        <w:rPr>
          <w:sz w:val="24"/>
          <w:szCs w:val="24"/>
        </w:rPr>
        <w:t xml:space="preserve">Для выявления сдерживающих факторов ряд предприятий ГМК провел анализ международных требований к промышленной безопасности, в рамках которого стало очевидным, что для обеспечения роста производительности и эффективности горных работ необходимо модернизировать подходы в сфере создания геологических, гидрогеологических, литологических и </w:t>
      </w:r>
      <w:proofErr w:type="spellStart"/>
      <w:r w:rsidRPr="00CF331E">
        <w:rPr>
          <w:sz w:val="24"/>
          <w:szCs w:val="24"/>
        </w:rPr>
        <w:t>геомеханических</w:t>
      </w:r>
      <w:proofErr w:type="spellEnd"/>
      <w:r w:rsidRPr="00CF331E">
        <w:rPr>
          <w:sz w:val="24"/>
          <w:szCs w:val="24"/>
        </w:rPr>
        <w:t xml:space="preserve"> моделей проектирования горного производства в соответствии с мировыми стандартами применения современных технологий, использования новых уровней механизации и перехода к цифровому формату. К примеру, был выявлен ряд несоответствий установленных нормативов в области промышленной безопасности Казахстана в части проветривания горных выработок нормативам, действующим в развитых странах.</w:t>
      </w:r>
    </w:p>
    <w:p w:rsidR="00CF331E" w:rsidRPr="00CF331E" w:rsidRDefault="00CF331E" w:rsidP="00CF331E">
      <w:pPr>
        <w:jc w:val="both"/>
        <w:rPr>
          <w:sz w:val="24"/>
          <w:szCs w:val="24"/>
        </w:rPr>
      </w:pPr>
      <w:r w:rsidRPr="00CF331E">
        <w:rPr>
          <w:sz w:val="24"/>
          <w:szCs w:val="24"/>
        </w:rPr>
        <w:t>Проведенный анализ также показал проблемы в сфере отечественных норм проектирования, основная часть которых была разработана в 60-70-х годах прошлого столетия. Так, на сегодня достижению максимально возможного потенциала месторождений препятствуют требования к уклону дорог. К примеру, в соответствии с внутренними казахстанскими нормами на каждые 600 метров съезда при 8% уклона инженеру необходимо добавить плоский участок съезда (уклон менее 2%) длиной 50 метров. Эта норма взята из расчета оборудования, использованного в 1970-х годах, а не современного горного оборудования, — его цель состоит в том, чтобы дать возможность самосвалам, созданным в прошлом веке, охлаждать тормоза и двигатели во время езды по длинным уклонам.</w:t>
      </w:r>
    </w:p>
    <w:p w:rsidR="00CF331E" w:rsidRPr="00CF331E" w:rsidRDefault="00CF331E" w:rsidP="00CF331E">
      <w:pPr>
        <w:jc w:val="both"/>
        <w:rPr>
          <w:sz w:val="24"/>
          <w:szCs w:val="24"/>
        </w:rPr>
      </w:pPr>
      <w:r w:rsidRPr="00CF331E">
        <w:rPr>
          <w:sz w:val="24"/>
          <w:szCs w:val="24"/>
        </w:rPr>
        <w:t xml:space="preserve">— Однако современное горное оборудование не нуждается в таких горизонтальных участках, поэтому производители горного оборудования советуют избегать горизонтальных участков на съездах, — подчеркнул Т. </w:t>
      </w:r>
      <w:proofErr w:type="spellStart"/>
      <w:r w:rsidRPr="00CF331E">
        <w:rPr>
          <w:sz w:val="24"/>
          <w:szCs w:val="24"/>
        </w:rPr>
        <w:t>Муханов</w:t>
      </w:r>
      <w:proofErr w:type="spellEnd"/>
      <w:r w:rsidRPr="00CF331E">
        <w:rPr>
          <w:sz w:val="24"/>
          <w:szCs w:val="24"/>
        </w:rPr>
        <w:t>. — Съезды должны иметь непрерывный уклон, чтобы минимизировать переключения коробки передач, поддерживать более высокие средние скорости, использовать более постоянное торможение в обратных поездках.</w:t>
      </w:r>
    </w:p>
    <w:p w:rsidR="00CF331E" w:rsidRPr="00CF331E" w:rsidRDefault="00CF331E" w:rsidP="00CF331E">
      <w:pPr>
        <w:jc w:val="both"/>
        <w:rPr>
          <w:sz w:val="24"/>
          <w:szCs w:val="24"/>
        </w:rPr>
      </w:pPr>
      <w:r w:rsidRPr="00CF331E">
        <w:rPr>
          <w:sz w:val="24"/>
          <w:szCs w:val="24"/>
        </w:rPr>
        <w:t>Поэтому для обеспечения соответствия международным стандартам было предложено перейти к 10% уклону съезда на карьерах, что способствовало бы позитивным изменениям, а именно ускорению производственного цикла, уменьшению объемов вскрыши пустой породы, снижению износа деталей, сокращению капитальных и эксплуатационных расходов благодаря меньшим объемам пустой породы.</w:t>
      </w:r>
    </w:p>
    <w:p w:rsidR="00CF331E" w:rsidRPr="00CF331E" w:rsidRDefault="00CF331E" w:rsidP="00CF331E">
      <w:pPr>
        <w:jc w:val="both"/>
        <w:rPr>
          <w:sz w:val="24"/>
          <w:szCs w:val="24"/>
        </w:rPr>
      </w:pPr>
      <w:r w:rsidRPr="00CF331E">
        <w:rPr>
          <w:sz w:val="24"/>
          <w:szCs w:val="24"/>
        </w:rPr>
        <w:t>— Благодаря предлагаемой инициативе безопасность работ не будет снижена, фактически это способствует предотвращению аварий за счет того, что износ деталей будет происходить медленнее, снижая при этом риск внезапного отказа деталей в результате усталости, — уточнил первый заместитель руководителя АГМП.</w:t>
      </w:r>
    </w:p>
    <w:p w:rsidR="00CF331E" w:rsidRPr="00CF331E" w:rsidRDefault="00CF331E" w:rsidP="00CF331E">
      <w:pPr>
        <w:jc w:val="both"/>
        <w:rPr>
          <w:sz w:val="24"/>
          <w:szCs w:val="24"/>
        </w:rPr>
      </w:pPr>
      <w:r w:rsidRPr="00CF331E">
        <w:rPr>
          <w:sz w:val="24"/>
          <w:szCs w:val="24"/>
        </w:rPr>
        <w:lastRenderedPageBreak/>
        <w:t xml:space="preserve">Касаясь международного опыта, Т. </w:t>
      </w:r>
      <w:proofErr w:type="spellStart"/>
      <w:r w:rsidRPr="00CF331E">
        <w:rPr>
          <w:sz w:val="24"/>
          <w:szCs w:val="24"/>
        </w:rPr>
        <w:t>Муханов</w:t>
      </w:r>
      <w:proofErr w:type="spellEnd"/>
      <w:r w:rsidRPr="00CF331E">
        <w:rPr>
          <w:sz w:val="24"/>
          <w:szCs w:val="24"/>
        </w:rPr>
        <w:t xml:space="preserve"> напомнил, что во многих развитых странах уделяют особое внимание развитию и совершенствованию правил безопасности на промышленных предприятиях, совершенствованию действующих требований к организации безопасной работы, эксплуатации оборудования.  Так, в России ведется обсуждение о необходимости пересмотра требований Промышленной безопасности и ее гармонизации с международным стандартом OHSAS 1801 «Система управления профессиональной безопасностью и здоровьем».</w:t>
      </w:r>
    </w:p>
    <w:p w:rsidR="00CF331E" w:rsidRPr="00CF331E" w:rsidRDefault="00CF331E" w:rsidP="00CF331E">
      <w:pPr>
        <w:jc w:val="both"/>
        <w:rPr>
          <w:sz w:val="24"/>
          <w:szCs w:val="24"/>
        </w:rPr>
      </w:pPr>
      <w:r w:rsidRPr="00CF331E">
        <w:rPr>
          <w:sz w:val="24"/>
          <w:szCs w:val="24"/>
        </w:rPr>
        <w:t>Страны ОЭСР из года в год продолжают искать наилучшие способы управления системой труда с возможностью внедрения современного оборудования на предприятиях, при этом ориентируясь на международные стандарты в области промышленной безопасности.</w:t>
      </w:r>
    </w:p>
    <w:p w:rsidR="00CF331E" w:rsidRPr="00CF331E" w:rsidRDefault="00CF331E" w:rsidP="00CF331E">
      <w:pPr>
        <w:jc w:val="both"/>
        <w:rPr>
          <w:sz w:val="24"/>
          <w:szCs w:val="24"/>
        </w:rPr>
      </w:pPr>
      <w:r w:rsidRPr="00CF331E">
        <w:rPr>
          <w:sz w:val="24"/>
          <w:szCs w:val="24"/>
        </w:rPr>
        <w:t xml:space="preserve">Все эти примеры свидетельствуют о необходимости пересмотра текущих стандартов в области промышленной безопасности в целях обеспечения максимальной безопасности труда на производстве. Так, например, на сегодня такие крупные предприятия ГМК, как «Восход </w:t>
      </w:r>
      <w:proofErr w:type="spellStart"/>
      <w:r w:rsidRPr="00CF331E">
        <w:rPr>
          <w:sz w:val="24"/>
          <w:szCs w:val="24"/>
        </w:rPr>
        <w:t>Oriel</w:t>
      </w:r>
      <w:proofErr w:type="spellEnd"/>
      <w:r w:rsidRPr="00CF331E">
        <w:rPr>
          <w:sz w:val="24"/>
          <w:szCs w:val="24"/>
        </w:rPr>
        <w:t>», «</w:t>
      </w:r>
      <w:proofErr w:type="spellStart"/>
      <w:r w:rsidRPr="00CF331E">
        <w:rPr>
          <w:sz w:val="24"/>
          <w:szCs w:val="24"/>
        </w:rPr>
        <w:t>Казцинк</w:t>
      </w:r>
      <w:proofErr w:type="spellEnd"/>
      <w:r w:rsidRPr="00CF331E">
        <w:rPr>
          <w:sz w:val="24"/>
          <w:szCs w:val="24"/>
        </w:rPr>
        <w:t>», «Евразийская Группа», готовы внедрять наилучшие технологии и техники на действующих и проектируемых предприятиях (проект «эффективный рудник» на карьере «</w:t>
      </w:r>
      <w:proofErr w:type="spellStart"/>
      <w:r w:rsidRPr="00CF331E">
        <w:rPr>
          <w:sz w:val="24"/>
          <w:szCs w:val="24"/>
        </w:rPr>
        <w:t>Качарский</w:t>
      </w:r>
      <w:proofErr w:type="spellEnd"/>
      <w:r w:rsidRPr="00CF331E">
        <w:rPr>
          <w:sz w:val="24"/>
          <w:szCs w:val="24"/>
        </w:rPr>
        <w:t>» АО «ССГПО»; шахта «10-лет Независимости Казахстана» АО «ТНК «</w:t>
      </w:r>
      <w:proofErr w:type="spellStart"/>
      <w:r w:rsidRPr="00CF331E">
        <w:rPr>
          <w:sz w:val="24"/>
          <w:szCs w:val="24"/>
        </w:rPr>
        <w:t>Казхром</w:t>
      </w:r>
      <w:proofErr w:type="spellEnd"/>
      <w:r w:rsidRPr="00CF331E">
        <w:rPr>
          <w:sz w:val="24"/>
          <w:szCs w:val="24"/>
        </w:rPr>
        <w:t xml:space="preserve">»; Долинное и </w:t>
      </w:r>
      <w:proofErr w:type="spellStart"/>
      <w:r w:rsidRPr="00CF331E">
        <w:rPr>
          <w:sz w:val="24"/>
          <w:szCs w:val="24"/>
        </w:rPr>
        <w:t>Обручевское</w:t>
      </w:r>
      <w:proofErr w:type="spellEnd"/>
      <w:r w:rsidRPr="00CF331E">
        <w:rPr>
          <w:sz w:val="24"/>
          <w:szCs w:val="24"/>
        </w:rPr>
        <w:t xml:space="preserve"> месторождения ТОО «</w:t>
      </w:r>
      <w:proofErr w:type="spellStart"/>
      <w:r w:rsidRPr="00CF331E">
        <w:rPr>
          <w:sz w:val="24"/>
          <w:szCs w:val="24"/>
        </w:rPr>
        <w:t>Казцинк</w:t>
      </w:r>
      <w:proofErr w:type="spellEnd"/>
      <w:r w:rsidRPr="00CF331E">
        <w:rPr>
          <w:sz w:val="24"/>
          <w:szCs w:val="24"/>
        </w:rPr>
        <w:t>» и др.)</w:t>
      </w:r>
    </w:p>
    <w:p w:rsidR="00CF331E" w:rsidRPr="00CF331E" w:rsidRDefault="00CF331E" w:rsidP="00CF331E">
      <w:pPr>
        <w:jc w:val="both"/>
        <w:rPr>
          <w:sz w:val="24"/>
          <w:szCs w:val="24"/>
        </w:rPr>
      </w:pPr>
      <w:r w:rsidRPr="00CF331E">
        <w:rPr>
          <w:sz w:val="24"/>
          <w:szCs w:val="24"/>
        </w:rPr>
        <w:t>Спикер привел сравнительный анализ законодательства зарубежных стран в области охраны окружающей среды с законодательством Казахстана, который, с его точки зрения, показал, что основным отличием казахстанского законодательства в сфере промышленной безопасности является то, что государственный орган выступает основным регулятором и разработчиком системы промышленной безопасности, в то время как в развитых странах (США, Великобритания) государственные органы больше заинтересованы в поддержке работодателей в целях обеспечения безопасных условий труда на промышленных предприятиях.</w:t>
      </w:r>
    </w:p>
    <w:p w:rsidR="00CF331E" w:rsidRPr="00CF331E" w:rsidRDefault="00CF331E" w:rsidP="00CF331E">
      <w:pPr>
        <w:jc w:val="both"/>
        <w:rPr>
          <w:sz w:val="24"/>
          <w:szCs w:val="24"/>
        </w:rPr>
      </w:pPr>
      <w:r w:rsidRPr="00CF331E">
        <w:rPr>
          <w:sz w:val="24"/>
          <w:szCs w:val="24"/>
        </w:rPr>
        <w:t>Кроме того, в Казахстане уполномоченный орган требует строгого соответствия проводимых мероприятий в области промышленной безопасности соответствующим законодательным актам и нормативным документам. При этом основной метод регулирования имеет диспозитивный характер, а соблюдение норм осуществляется путем налагания штрафных санкций. Более того, действующие правила в области промышленной безопасности устарели и основываются на неактуальных в мире практиках.</w:t>
      </w:r>
    </w:p>
    <w:p w:rsidR="00CF331E" w:rsidRPr="00CF331E" w:rsidRDefault="00CF331E" w:rsidP="00CF331E">
      <w:pPr>
        <w:jc w:val="both"/>
        <w:rPr>
          <w:sz w:val="24"/>
          <w:szCs w:val="24"/>
        </w:rPr>
      </w:pPr>
      <w:r w:rsidRPr="00CF331E">
        <w:rPr>
          <w:sz w:val="24"/>
          <w:szCs w:val="24"/>
        </w:rPr>
        <w:t xml:space="preserve">Резюмируя свое выступление, </w:t>
      </w:r>
      <w:proofErr w:type="spellStart"/>
      <w:r w:rsidRPr="00CF331E">
        <w:rPr>
          <w:sz w:val="24"/>
          <w:szCs w:val="24"/>
        </w:rPr>
        <w:t>Т.Муханов</w:t>
      </w:r>
      <w:proofErr w:type="spellEnd"/>
      <w:r w:rsidRPr="00CF331E">
        <w:rPr>
          <w:sz w:val="24"/>
          <w:szCs w:val="24"/>
        </w:rPr>
        <w:t xml:space="preserve"> предложил активизировать работу по гармонизации отечественных стандартов в соответствии с международными требованиями.</w:t>
      </w:r>
    </w:p>
    <w:p w:rsidR="00F4025A" w:rsidRPr="004F1711" w:rsidRDefault="00F4025A" w:rsidP="00CF331E">
      <w:pPr>
        <w:jc w:val="both"/>
        <w:rPr>
          <w:b/>
          <w:sz w:val="24"/>
          <w:szCs w:val="24"/>
        </w:rPr>
      </w:pPr>
      <w:bookmarkStart w:id="0" w:name="_GoBack"/>
      <w:bookmarkEnd w:id="0"/>
      <w:r w:rsidRPr="00F4025A">
        <w:rPr>
          <w:b/>
          <w:sz w:val="24"/>
          <w:szCs w:val="24"/>
        </w:rPr>
        <w:t>Пресс</w:t>
      </w:r>
      <w:r w:rsidRPr="004F1711">
        <w:rPr>
          <w:b/>
          <w:sz w:val="24"/>
          <w:szCs w:val="24"/>
        </w:rPr>
        <w:t>-</w:t>
      </w:r>
      <w:r w:rsidRPr="00F4025A">
        <w:rPr>
          <w:b/>
          <w:sz w:val="24"/>
          <w:szCs w:val="24"/>
        </w:rPr>
        <w:t>служба</w:t>
      </w:r>
      <w:r w:rsidRPr="004F1711">
        <w:rPr>
          <w:b/>
          <w:sz w:val="24"/>
          <w:szCs w:val="24"/>
        </w:rPr>
        <w:t xml:space="preserve"> </w:t>
      </w:r>
      <w:r w:rsidRPr="00F4025A">
        <w:rPr>
          <w:b/>
          <w:sz w:val="24"/>
          <w:szCs w:val="24"/>
        </w:rPr>
        <w:t>АГМП</w:t>
      </w:r>
    </w:p>
    <w:p w:rsidR="00F4025A" w:rsidRPr="004F1711" w:rsidRDefault="00F4025A" w:rsidP="00F4025A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Тел</w:t>
      </w:r>
      <w:r w:rsidRPr="004F1711">
        <w:rPr>
          <w:sz w:val="24"/>
          <w:szCs w:val="24"/>
        </w:rPr>
        <w:t>.: 8 (7172) 6</w:t>
      </w:r>
      <w:r w:rsidR="00E10E91">
        <w:rPr>
          <w:sz w:val="24"/>
          <w:szCs w:val="24"/>
        </w:rPr>
        <w:t>4 37 08</w:t>
      </w:r>
    </w:p>
    <w:p w:rsidR="00F4025A" w:rsidRDefault="00EE5D52" w:rsidP="00F4025A">
      <w:pPr>
        <w:jc w:val="both"/>
        <w:rPr>
          <w:sz w:val="24"/>
          <w:szCs w:val="24"/>
        </w:rPr>
      </w:pPr>
      <w:r>
        <w:rPr>
          <w:sz w:val="24"/>
          <w:szCs w:val="24"/>
        </w:rPr>
        <w:t>8 701 027 89 74</w:t>
      </w:r>
    </w:p>
    <w:p w:rsidR="00EE5D52" w:rsidRPr="00EE5D52" w:rsidRDefault="00EE5D52" w:rsidP="00F4025A">
      <w:pPr>
        <w:jc w:val="both"/>
        <w:rPr>
          <w:sz w:val="24"/>
          <w:szCs w:val="24"/>
        </w:rPr>
      </w:pPr>
    </w:p>
    <w:p w:rsidR="00F4025A" w:rsidRPr="00F4025A" w:rsidRDefault="00F4025A" w:rsidP="00F4025A">
      <w:pPr>
        <w:jc w:val="both"/>
        <w:rPr>
          <w:b/>
          <w:sz w:val="24"/>
          <w:szCs w:val="24"/>
        </w:rPr>
      </w:pPr>
      <w:r w:rsidRPr="00F4025A">
        <w:rPr>
          <w:b/>
          <w:sz w:val="24"/>
          <w:szCs w:val="24"/>
        </w:rPr>
        <w:t>Об АГМП</w:t>
      </w:r>
    </w:p>
    <w:p w:rsidR="00F4025A" w:rsidRPr="00F4025A" w:rsidRDefault="00F4025A" w:rsidP="00F4025A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lastRenderedPageBreak/>
        <w:t xml:space="preserve">ОЮЛ «Ассоциация горнодобывающих и горно-металлургических предприятий» создана в 2005 году по инициативе предприятий горнорудного сектора Республики Казахстан. На сегодняшний день АГМП является крупнейшим отраслевым объединением Казахстана, в состав которого входят более </w:t>
      </w:r>
      <w:r>
        <w:rPr>
          <w:sz w:val="24"/>
          <w:szCs w:val="24"/>
        </w:rPr>
        <w:t>100</w:t>
      </w:r>
      <w:r w:rsidRPr="00F4025A">
        <w:rPr>
          <w:sz w:val="24"/>
          <w:szCs w:val="24"/>
        </w:rPr>
        <w:t xml:space="preserve"> компаний черной и цветной металлургии, урановой и угольной промышленности.</w:t>
      </w:r>
    </w:p>
    <w:p w:rsidR="004A558E" w:rsidRPr="004158D5" w:rsidRDefault="00F4025A" w:rsidP="004F1711">
      <w:pPr>
        <w:jc w:val="both"/>
        <w:rPr>
          <w:sz w:val="24"/>
          <w:szCs w:val="24"/>
        </w:rPr>
      </w:pPr>
      <w:r w:rsidRPr="00F4025A">
        <w:rPr>
          <w:sz w:val="24"/>
          <w:szCs w:val="24"/>
        </w:rPr>
        <w:t>Ассоциация аккредитована в Национальной палате предпринимателей, а также в 7 министерствах и ведомствах, входит в состав основных рабочих групп в качестве единого представителя отрасли и выступает там как полномочный представитель работодателей в процессе социального партнерства.</w:t>
      </w:r>
    </w:p>
    <w:sectPr w:rsidR="004A558E" w:rsidRPr="004158D5" w:rsidSect="00C51F7B">
      <w:headerReference w:type="default" r:id="rId6"/>
      <w:footerReference w:type="default" r:id="rId7"/>
      <w:pgSz w:w="11906" w:h="16838"/>
      <w:pgMar w:top="1134" w:right="140" w:bottom="1134" w:left="142" w:header="708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FEB" w:rsidRDefault="00001FEB" w:rsidP="00DE2BF8">
      <w:pPr>
        <w:spacing w:after="0" w:line="240" w:lineRule="auto"/>
      </w:pPr>
      <w:r>
        <w:separator/>
      </w:r>
    </w:p>
  </w:endnote>
  <w:endnote w:type="continuationSeparator" w:id="0">
    <w:p w:rsidR="00001FEB" w:rsidRDefault="00001FEB" w:rsidP="00DE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7B" w:rsidRDefault="00C51F7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6ACE1C" wp14:editId="7271D56C">
              <wp:simplePos x="0" y="0"/>
              <wp:positionH relativeFrom="column">
                <wp:posOffset>-106045</wp:posOffset>
              </wp:positionH>
              <wp:positionV relativeFrom="paragraph">
                <wp:posOffset>49199</wp:posOffset>
              </wp:positionV>
              <wp:extent cx="7593496" cy="0"/>
              <wp:effectExtent l="0" t="19050" r="26670" b="19050"/>
              <wp:wrapNone/>
              <wp:docPr id="10" name="Прямая соединительная линия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3496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7C2E20"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3.85pt" to="589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" strokecolor="#00b0f0" strokeweight="2.75pt">
              <v:stroke joinstyle="miter"/>
            </v:line>
          </w:pict>
        </mc:Fallback>
      </mc:AlternateContent>
    </w:r>
  </w:p>
  <w:p w:rsidR="00DE2BF8" w:rsidRPr="007D6FFB" w:rsidRDefault="00C51F7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F8C33F1" wp14:editId="00B169DD">
          <wp:simplePos x="0" y="0"/>
          <wp:positionH relativeFrom="column">
            <wp:posOffset>5952655</wp:posOffset>
          </wp:positionH>
          <wp:positionV relativeFrom="paragraph">
            <wp:posOffset>37465</wp:posOffset>
          </wp:positionV>
          <wp:extent cx="1463040" cy="1371553"/>
          <wp:effectExtent l="0" t="0" r="3810" b="635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12x5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371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BF8" w:rsidRPr="007D6FFB"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  <w:t>Пресс служба АГМП</w:t>
    </w:r>
  </w:p>
  <w:p w:rsidR="007D6FFB" w:rsidRPr="007D6FFB" w:rsidRDefault="007D6FF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val="kk-KZ" w:eastAsia="ru-RU"/>
      </w:rPr>
    </w:pPr>
  </w:p>
  <w:p w:rsidR="007D6FFB" w:rsidRPr="007D6FFB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  <w:r w:rsidRPr="007D6FFB"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  <w:t xml:space="preserve">РЕСПУБЛИКАНСКАЯ АССОЦИАЦИЯ ГОРНОДОБЫВАЮЩИХ </w:t>
    </w:r>
  </w:p>
  <w:p w:rsidR="00DE2BF8" w:rsidRPr="007D6FFB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  <w:r w:rsidRPr="007D6FFB"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  <w:t>И ГОРНО-МЕТАЛЛУРГИЧЕСКИХ ПРЕДПРИЯТИЙ</w:t>
    </w:r>
  </w:p>
  <w:p w:rsidR="00DE2BF8" w:rsidRPr="00DE2BF8" w:rsidRDefault="007D6FFB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F79646"/>
        <w:sz w:val="18"/>
        <w:szCs w:val="18"/>
        <w:lang w:eastAsia="ru-RU"/>
      </w:rPr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93017" wp14:editId="4736D37F">
              <wp:simplePos x="0" y="0"/>
              <wp:positionH relativeFrom="column">
                <wp:posOffset>-106045</wp:posOffset>
              </wp:positionH>
              <wp:positionV relativeFrom="paragraph">
                <wp:posOffset>98756</wp:posOffset>
              </wp:positionV>
              <wp:extent cx="3705308" cy="0"/>
              <wp:effectExtent l="0" t="19050" r="2857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05308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47521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7.8pt" to="283.4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" strokecolor="#00b0f0" strokeweight="2.75pt">
              <v:stroke joinstyle="miter"/>
            </v:line>
          </w:pict>
        </mc:Fallback>
      </mc:AlternateContent>
    </w:r>
  </w:p>
  <w:p w:rsidR="00DE2BF8" w:rsidRDefault="00DE2BF8" w:rsidP="00DE2BF8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F79646"/>
        <w:sz w:val="18"/>
        <w:szCs w:val="18"/>
        <w:lang w:val="kk-KZ" w:eastAsia="ru-RU"/>
      </w:rPr>
    </w:pPr>
  </w:p>
  <w:tbl>
    <w:tblPr>
      <w:tblStyle w:val="a8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2852"/>
    </w:tblGrid>
    <w:tr w:rsidR="00C51F7B" w:rsidTr="00C51F7B">
      <w:trPr>
        <w:trHeight w:val="247"/>
      </w:trPr>
      <w:tc>
        <w:tcPr>
          <w:tcW w:w="2835" w:type="dxa"/>
        </w:tcPr>
        <w:p w:rsidR="00C51F7B" w:rsidRPr="004158D5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9"/>
              <w:szCs w:val="19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Т:</w:t>
          </w:r>
          <w:r w:rsidRPr="007D6FF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+7 (7172</w:t>
          </w:r>
          <w:r w:rsidRPr="007E25E3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 xml:space="preserve">) </w:t>
          </w:r>
          <w:r w:rsidRPr="004158D5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689 601</w:t>
          </w:r>
        </w:p>
        <w:p w:rsidR="00C51F7B" w:rsidRPr="004158D5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Ф:</w:t>
          </w:r>
          <w:r w:rsidRPr="00C51F7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+7 (7172)</w:t>
          </w:r>
          <w:r w:rsidRPr="00C51F7B">
            <w:rPr>
              <w:rFonts w:ascii="Arial" w:hAnsi="Arial" w:cs="Arial"/>
              <w:noProof/>
              <w:sz w:val="18"/>
              <w:szCs w:val="18"/>
              <w:lang w:eastAsia="ru-RU"/>
            </w:rPr>
            <w:t xml:space="preserve"> </w:t>
          </w:r>
          <w:r w:rsidRPr="004158D5">
            <w:rPr>
              <w:rFonts w:ascii="Arial" w:hAnsi="Arial" w:cs="Arial"/>
              <w:noProof/>
              <w:color w:val="525252" w:themeColor="accent3" w:themeShade="80"/>
              <w:sz w:val="18"/>
              <w:szCs w:val="18"/>
              <w:lang w:eastAsia="ru-RU"/>
            </w:rPr>
            <w:t>689 602</w:t>
          </w:r>
        </w:p>
        <w:p w:rsidR="00C51F7B" w:rsidRPr="007D6FFB" w:rsidRDefault="00C51F7B" w:rsidP="00C51F7B">
          <w:pPr>
            <w:shd w:val="clear" w:color="auto" w:fill="FFFFFF"/>
            <w:rPr>
              <w:rFonts w:ascii="Arial" w:eastAsia="Times New Roman" w:hAnsi="Arial" w:cs="Arial"/>
              <w:color w:val="00B0F0"/>
              <w:sz w:val="19"/>
              <w:szCs w:val="19"/>
              <w:lang w:eastAsia="ru-RU"/>
            </w:rPr>
          </w:pP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val="en-US" w:eastAsia="ru-RU"/>
            </w:rPr>
            <w:t>E</w:t>
          </w:r>
          <w:r w:rsidRPr="007D6FFB"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  <w:t>: </w:t>
          </w:r>
          <w:r w:rsidRPr="007D6FFB">
            <w:rPr>
              <w:rFonts w:ascii="Arial" w:eastAsia="Times New Roman" w:hAnsi="Arial" w:cs="Arial"/>
              <w:color w:val="00B0F0"/>
              <w:sz w:val="18"/>
              <w:szCs w:val="18"/>
              <w:lang w:eastAsia="ru-RU"/>
            </w:rPr>
            <w:t> 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agmp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.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info</w:t>
          </w:r>
          <w:r w:rsidRPr="007D6FF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@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gmail</w:t>
          </w:r>
          <w:r w:rsidRPr="007D6FF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eastAsia="ru-RU"/>
            </w:rPr>
            <w:t>.</w:t>
          </w:r>
          <w:r w:rsidRPr="00C51F7B">
            <w:rPr>
              <w:rFonts w:ascii="Arial" w:eastAsia="Times New Roman" w:hAnsi="Arial" w:cs="Arial"/>
              <w:color w:val="525252" w:themeColor="accent3" w:themeShade="80"/>
              <w:sz w:val="18"/>
              <w:szCs w:val="18"/>
              <w:lang w:val="en-US" w:eastAsia="ru-RU"/>
            </w:rPr>
            <w:t>com</w:t>
          </w:r>
        </w:p>
        <w:p w:rsidR="00C51F7B" w:rsidRDefault="00C51F7B" w:rsidP="007D6FFB">
          <w:pPr>
            <w:rPr>
              <w:rFonts w:ascii="Arial" w:eastAsia="Times New Roman" w:hAnsi="Arial" w:cs="Arial"/>
              <w:b/>
              <w:bCs/>
              <w:color w:val="00B0F0"/>
              <w:sz w:val="18"/>
              <w:szCs w:val="18"/>
              <w:lang w:eastAsia="ru-RU"/>
            </w:rPr>
          </w:pPr>
        </w:p>
      </w:tc>
      <w:tc>
        <w:tcPr>
          <w:tcW w:w="2852" w:type="dxa"/>
        </w:tcPr>
        <w:p w:rsidR="007E25E3" w:rsidRPr="007E25E3" w:rsidRDefault="007E25E3" w:rsidP="007E25E3">
          <w:pPr>
            <w:rPr>
              <w:rFonts w:ascii="Arial" w:hAnsi="Arial" w:cs="Arial"/>
              <w:color w:val="525252" w:themeColor="accent3" w:themeShade="80"/>
              <w:sz w:val="18"/>
              <w:szCs w:val="18"/>
            </w:rPr>
          </w:pPr>
          <w:r w:rsidRPr="007E25E3">
            <w:rPr>
              <w:rFonts w:ascii="Arial" w:hAnsi="Arial" w:cs="Arial"/>
              <w:color w:val="525252" w:themeColor="accent3" w:themeShade="80"/>
              <w:sz w:val="18"/>
              <w:szCs w:val="18"/>
            </w:rPr>
            <w:t>Республика Казахстан,</w:t>
          </w:r>
        </w:p>
        <w:p w:rsidR="007E25E3" w:rsidRPr="007E25E3" w:rsidRDefault="007E25E3" w:rsidP="007E25E3">
          <w:pPr>
            <w:rPr>
              <w:rFonts w:ascii="Arial" w:hAnsi="Arial" w:cs="Arial"/>
              <w:color w:val="525252" w:themeColor="accent3" w:themeShade="80"/>
              <w:sz w:val="18"/>
              <w:szCs w:val="18"/>
            </w:rPr>
          </w:pPr>
          <w:r w:rsidRPr="007E25E3">
            <w:rPr>
              <w:rFonts w:ascii="Arial" w:hAnsi="Arial" w:cs="Arial"/>
              <w:color w:val="525252" w:themeColor="accent3" w:themeShade="80"/>
              <w:sz w:val="18"/>
              <w:szCs w:val="18"/>
            </w:rPr>
            <w:t>г. Астана, ул. Д. Кунаева 12/1</w:t>
          </w:r>
        </w:p>
        <w:p w:rsidR="00C51F7B" w:rsidRPr="007E25E3" w:rsidRDefault="007E25E3" w:rsidP="007D6FFB">
          <w:pPr>
            <w:rPr>
              <w:rFonts w:ascii="Arial" w:hAnsi="Arial" w:cs="Arial"/>
              <w:sz w:val="18"/>
              <w:szCs w:val="18"/>
            </w:rPr>
          </w:pPr>
          <w:r w:rsidRPr="007E25E3">
            <w:rPr>
              <w:rFonts w:ascii="Arial" w:hAnsi="Arial" w:cs="Arial"/>
              <w:color w:val="00B0F0"/>
              <w:sz w:val="18"/>
              <w:szCs w:val="18"/>
            </w:rPr>
            <w:t>www.agmp.kz</w:t>
          </w:r>
        </w:p>
      </w:tc>
    </w:tr>
  </w:tbl>
  <w:p w:rsidR="00C51F7B" w:rsidRDefault="00C51F7B" w:rsidP="00C51F7B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00B0F0"/>
        <w:sz w:val="18"/>
        <w:szCs w:val="1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FEB" w:rsidRDefault="00001FEB" w:rsidP="00DE2BF8">
      <w:pPr>
        <w:spacing w:after="0" w:line="240" w:lineRule="auto"/>
      </w:pPr>
      <w:r>
        <w:separator/>
      </w:r>
    </w:p>
  </w:footnote>
  <w:footnote w:type="continuationSeparator" w:id="0">
    <w:p w:rsidR="00001FEB" w:rsidRDefault="00001FEB" w:rsidP="00DE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963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0AA7FC08" wp14:editId="697C638B">
          <wp:simplePos x="0" y="0"/>
          <wp:positionH relativeFrom="column">
            <wp:posOffset>3220589</wp:posOffset>
          </wp:positionH>
          <wp:positionV relativeFrom="paragraph">
            <wp:posOffset>-291924</wp:posOffset>
          </wp:positionV>
          <wp:extent cx="756771" cy="709448"/>
          <wp:effectExtent l="0" t="0" r="5715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12x5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575" cy="717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34963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</w:p>
  <w:p w:rsidR="00DE2BF8" w:rsidRDefault="00434963" w:rsidP="00434963">
    <w:pPr>
      <w:pStyle w:val="a3"/>
      <w:tabs>
        <w:tab w:val="clear" w:pos="4677"/>
        <w:tab w:val="clear" w:pos="9355"/>
        <w:tab w:val="left" w:pos="3997"/>
        <w:tab w:val="left" w:pos="5313"/>
      </w:tabs>
    </w:pPr>
    <w:r>
      <w:rPr>
        <w:rFonts w:ascii="Arial" w:eastAsia="Times New Roman" w:hAnsi="Arial" w:cs="Arial"/>
        <w:b/>
        <w:bCs/>
        <w:noProof/>
        <w:color w:val="F79646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B9CE9D" wp14:editId="05381EC0">
              <wp:simplePos x="0" y="0"/>
              <wp:positionH relativeFrom="column">
                <wp:posOffset>-119190</wp:posOffset>
              </wp:positionH>
              <wp:positionV relativeFrom="paragraph">
                <wp:posOffset>86995</wp:posOffset>
              </wp:positionV>
              <wp:extent cx="7593496" cy="0"/>
              <wp:effectExtent l="0" t="19050" r="26670" b="19050"/>
              <wp:wrapNone/>
              <wp:docPr id="12" name="Прямая соединительная линия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93496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00B0F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AC7C3F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pt,6.85pt" to="58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" strokecolor="#00b0f0" strokeweight="2.75pt">
              <v:stroke joinstyle="miter"/>
            </v:line>
          </w:pict>
        </mc:Fallback>
      </mc:AlternateContent>
    </w:r>
    <w:r>
      <w:tab/>
    </w:r>
  </w:p>
  <w:p w:rsidR="00DE2BF8" w:rsidRDefault="00DE2B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F8"/>
    <w:rsid w:val="00001FEB"/>
    <w:rsid w:val="000346D4"/>
    <w:rsid w:val="0020722B"/>
    <w:rsid w:val="00295EEA"/>
    <w:rsid w:val="003231F7"/>
    <w:rsid w:val="00386DEF"/>
    <w:rsid w:val="003C428F"/>
    <w:rsid w:val="004158D5"/>
    <w:rsid w:val="00434963"/>
    <w:rsid w:val="00477B80"/>
    <w:rsid w:val="004A558E"/>
    <w:rsid w:val="004F1711"/>
    <w:rsid w:val="00536503"/>
    <w:rsid w:val="00597DE7"/>
    <w:rsid w:val="006476EC"/>
    <w:rsid w:val="006A60AC"/>
    <w:rsid w:val="00745C16"/>
    <w:rsid w:val="007D6FFB"/>
    <w:rsid w:val="007E25E3"/>
    <w:rsid w:val="009A1744"/>
    <w:rsid w:val="00A15693"/>
    <w:rsid w:val="00A23547"/>
    <w:rsid w:val="00C51F7B"/>
    <w:rsid w:val="00CA7259"/>
    <w:rsid w:val="00CF331E"/>
    <w:rsid w:val="00D75CBD"/>
    <w:rsid w:val="00DC180F"/>
    <w:rsid w:val="00DC2843"/>
    <w:rsid w:val="00DE2BF8"/>
    <w:rsid w:val="00E10E91"/>
    <w:rsid w:val="00EE5D52"/>
    <w:rsid w:val="00F24089"/>
    <w:rsid w:val="00F4025A"/>
    <w:rsid w:val="00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2AD7EE-5D92-4926-98B5-77F16F99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BF8"/>
  </w:style>
  <w:style w:type="paragraph" w:styleId="a5">
    <w:name w:val="footer"/>
    <w:basedOn w:val="a"/>
    <w:link w:val="a6"/>
    <w:uiPriority w:val="99"/>
    <w:unhideWhenUsed/>
    <w:rsid w:val="00DE2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BF8"/>
  </w:style>
  <w:style w:type="character" w:customStyle="1" w:styleId="apple-converted-space">
    <w:name w:val="apple-converted-space"/>
    <w:basedOn w:val="a0"/>
    <w:rsid w:val="007D6FFB"/>
  </w:style>
  <w:style w:type="character" w:styleId="a7">
    <w:name w:val="Hyperlink"/>
    <w:basedOn w:val="a0"/>
    <w:uiPriority w:val="99"/>
    <w:unhideWhenUsed/>
    <w:rsid w:val="007D6FFB"/>
    <w:rPr>
      <w:color w:val="0000FF"/>
      <w:u w:val="single"/>
    </w:rPr>
  </w:style>
  <w:style w:type="character" w:customStyle="1" w:styleId="il">
    <w:name w:val="il"/>
    <w:basedOn w:val="a0"/>
    <w:rsid w:val="007D6FFB"/>
  </w:style>
  <w:style w:type="table" w:styleId="a8">
    <w:name w:val="Table Grid"/>
    <w:basedOn w:val="a1"/>
    <w:uiPriority w:val="39"/>
    <w:rsid w:val="00C5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PYCTAM</dc:creator>
  <cp:keywords/>
  <dc:description/>
  <cp:lastModifiedBy>AGMP-005</cp:lastModifiedBy>
  <cp:revision>2</cp:revision>
  <dcterms:created xsi:type="dcterms:W3CDTF">2019-10-09T13:02:00Z</dcterms:created>
  <dcterms:modified xsi:type="dcterms:W3CDTF">2019-10-09T13:02:00Z</dcterms:modified>
</cp:coreProperties>
</file>