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F24089" w:rsidP="004158D5">
      <w:pPr>
        <w:rPr>
          <w:b/>
          <w:sz w:val="24"/>
          <w:szCs w:val="24"/>
        </w:rPr>
      </w:pPr>
      <w:r>
        <w:rPr>
          <w:b/>
          <w:sz w:val="24"/>
          <w:szCs w:val="24"/>
        </w:rPr>
        <w:t>1</w:t>
      </w:r>
      <w:r w:rsidR="004A3C90">
        <w:rPr>
          <w:b/>
          <w:sz w:val="24"/>
          <w:szCs w:val="24"/>
        </w:rPr>
        <w:t>2</w:t>
      </w:r>
      <w:r w:rsidR="00536503">
        <w:rPr>
          <w:b/>
          <w:sz w:val="24"/>
          <w:szCs w:val="24"/>
        </w:rPr>
        <w:t xml:space="preserve"> июня </w:t>
      </w:r>
      <w:r w:rsidR="004158D5">
        <w:rPr>
          <w:b/>
          <w:sz w:val="24"/>
          <w:szCs w:val="24"/>
        </w:rPr>
        <w:t>201</w:t>
      </w:r>
      <w:r w:rsidR="00E10E91">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386DEF" w:rsidRDefault="00386DEF" w:rsidP="00386DEF">
      <w:pPr>
        <w:jc w:val="both"/>
        <w:rPr>
          <w:b/>
          <w:sz w:val="24"/>
          <w:szCs w:val="24"/>
        </w:rPr>
      </w:pPr>
    </w:p>
    <w:p w:rsidR="004A3C90" w:rsidRPr="004A3C90" w:rsidRDefault="004A3C90" w:rsidP="004A3C90">
      <w:pPr>
        <w:jc w:val="center"/>
        <w:rPr>
          <w:b/>
          <w:sz w:val="24"/>
          <w:szCs w:val="24"/>
        </w:rPr>
      </w:pPr>
      <w:proofErr w:type="spellStart"/>
      <w:r w:rsidRPr="004A3C90">
        <w:rPr>
          <w:b/>
          <w:sz w:val="24"/>
          <w:szCs w:val="24"/>
        </w:rPr>
        <w:t>Цифровизации</w:t>
      </w:r>
      <w:proofErr w:type="spellEnd"/>
      <w:r w:rsidRPr="004A3C90">
        <w:rPr>
          <w:b/>
          <w:sz w:val="24"/>
          <w:szCs w:val="24"/>
        </w:rPr>
        <w:t xml:space="preserve"> необходима поддержка государства</w:t>
      </w:r>
    </w:p>
    <w:p w:rsidR="004A3C90" w:rsidRPr="004A3C90" w:rsidRDefault="004A3C90" w:rsidP="004A3C90">
      <w:pPr>
        <w:jc w:val="both"/>
        <w:rPr>
          <w:sz w:val="24"/>
          <w:szCs w:val="24"/>
        </w:rPr>
      </w:pPr>
      <w:r w:rsidRPr="004A3C90">
        <w:rPr>
          <w:sz w:val="24"/>
          <w:szCs w:val="24"/>
        </w:rPr>
        <w:t xml:space="preserve">Ряд актуальных вопросов, связанных с </w:t>
      </w:r>
      <w:proofErr w:type="spellStart"/>
      <w:r w:rsidRPr="004A3C90">
        <w:rPr>
          <w:sz w:val="24"/>
          <w:szCs w:val="24"/>
        </w:rPr>
        <w:t>цифровизацией</w:t>
      </w:r>
      <w:proofErr w:type="spellEnd"/>
      <w:r w:rsidRPr="004A3C90">
        <w:rPr>
          <w:sz w:val="24"/>
          <w:szCs w:val="24"/>
        </w:rPr>
        <w:t xml:space="preserve"> предприятий горно-металлургической промышленности, обозначил исполнительный директор АГМП Николай </w:t>
      </w:r>
      <w:proofErr w:type="spellStart"/>
      <w:r w:rsidRPr="004A3C90">
        <w:rPr>
          <w:sz w:val="24"/>
          <w:szCs w:val="24"/>
        </w:rPr>
        <w:t>Радостовец</w:t>
      </w:r>
      <w:proofErr w:type="spellEnd"/>
      <w:r w:rsidRPr="004A3C90">
        <w:rPr>
          <w:sz w:val="24"/>
          <w:szCs w:val="24"/>
        </w:rPr>
        <w:t xml:space="preserve">, выступая на пленарном заседании «Стратегии развития мировой горнодобывающей промышленности в условиях </w:t>
      </w:r>
      <w:proofErr w:type="spellStart"/>
      <w:r w:rsidRPr="004A3C90">
        <w:rPr>
          <w:sz w:val="24"/>
          <w:szCs w:val="24"/>
        </w:rPr>
        <w:t>цифровизации</w:t>
      </w:r>
      <w:proofErr w:type="spellEnd"/>
      <w:r w:rsidRPr="004A3C90">
        <w:rPr>
          <w:sz w:val="24"/>
          <w:szCs w:val="24"/>
        </w:rPr>
        <w:t>» в рамках X Международного горно-металлургического конгресса «</w:t>
      </w:r>
      <w:proofErr w:type="spellStart"/>
      <w:r w:rsidRPr="004A3C90">
        <w:rPr>
          <w:sz w:val="24"/>
          <w:szCs w:val="24"/>
        </w:rPr>
        <w:t>Astana</w:t>
      </w:r>
      <w:proofErr w:type="spellEnd"/>
      <w:r w:rsidRPr="004A3C90">
        <w:rPr>
          <w:sz w:val="24"/>
          <w:szCs w:val="24"/>
        </w:rPr>
        <w:t xml:space="preserve"> </w:t>
      </w:r>
      <w:proofErr w:type="spellStart"/>
      <w:r w:rsidRPr="004A3C90">
        <w:rPr>
          <w:sz w:val="24"/>
          <w:szCs w:val="24"/>
        </w:rPr>
        <w:t>Mining</w:t>
      </w:r>
      <w:proofErr w:type="spellEnd"/>
      <w:r w:rsidRPr="004A3C90">
        <w:rPr>
          <w:sz w:val="24"/>
          <w:szCs w:val="24"/>
        </w:rPr>
        <w:t xml:space="preserve"> &amp; </w:t>
      </w:r>
      <w:proofErr w:type="spellStart"/>
      <w:r w:rsidRPr="004A3C90">
        <w:rPr>
          <w:sz w:val="24"/>
          <w:szCs w:val="24"/>
        </w:rPr>
        <w:t>Metallurgy</w:t>
      </w:r>
      <w:proofErr w:type="spellEnd"/>
      <w:r w:rsidRPr="004A3C90">
        <w:rPr>
          <w:sz w:val="24"/>
          <w:szCs w:val="24"/>
        </w:rPr>
        <w:t>».</w:t>
      </w:r>
    </w:p>
    <w:p w:rsidR="004A3C90" w:rsidRPr="004A3C90" w:rsidRDefault="004A3C90" w:rsidP="004A3C90">
      <w:pPr>
        <w:jc w:val="both"/>
        <w:rPr>
          <w:sz w:val="24"/>
          <w:szCs w:val="24"/>
        </w:rPr>
      </w:pPr>
      <w:r w:rsidRPr="004A3C90">
        <w:rPr>
          <w:sz w:val="24"/>
          <w:szCs w:val="24"/>
        </w:rPr>
        <w:t xml:space="preserve">Отметив, что </w:t>
      </w:r>
      <w:proofErr w:type="spellStart"/>
      <w:r w:rsidRPr="004A3C90">
        <w:rPr>
          <w:sz w:val="24"/>
          <w:szCs w:val="24"/>
        </w:rPr>
        <w:t>цифровизация</w:t>
      </w:r>
      <w:proofErr w:type="spellEnd"/>
      <w:r w:rsidRPr="004A3C90">
        <w:rPr>
          <w:sz w:val="24"/>
          <w:szCs w:val="24"/>
        </w:rPr>
        <w:t xml:space="preserve"> – очень дорогое дело, требующее огромных вложений не только в покупку программного обеспечения, но и в подготовку кадров, обучение специалистов, глава ассоциации обратил внимание на ряд ограничений, которые в этой части содержит действующее налоговое законодательство. Так, налоговые вычеты при осуществлении затрат на обучение или переподготовку кадров доступны только для «специальностей, связанных с деятельностью работодателя». К примеру, работодатель является производителем металла. Налоговые органы считают, что эта статья применима только в отношении специальностей, задействованных в производстве металла, но никак, допустим, не IT-специалистов.</w:t>
      </w:r>
    </w:p>
    <w:p w:rsidR="004A3C90" w:rsidRPr="004A3C90" w:rsidRDefault="004A3C90" w:rsidP="004A3C90">
      <w:pPr>
        <w:jc w:val="both"/>
        <w:rPr>
          <w:sz w:val="24"/>
          <w:szCs w:val="24"/>
        </w:rPr>
      </w:pPr>
      <w:r w:rsidRPr="004A3C90">
        <w:rPr>
          <w:sz w:val="24"/>
          <w:szCs w:val="24"/>
        </w:rPr>
        <w:t>В этой связи АГМП предлагает изменить формулировку, используемую в ст. 257 Налогового кодекса, и позволить предприятиям относить на вычеты затраты, направленные «на обучение работника по специальности, необходимой для осуществления деятельности работодателя, а также на повышение квалификации или переподготовку работника». Таким образом, норма будет распространяться не только на инженерно-технических работников, но и на административно-управленческий персонал, что существенно облегчит предприятиям задачу по переобучению сотрудников.</w:t>
      </w:r>
    </w:p>
    <w:p w:rsidR="004A3C90" w:rsidRPr="004A3C90" w:rsidRDefault="004A3C90" w:rsidP="004A3C90">
      <w:pPr>
        <w:jc w:val="both"/>
        <w:rPr>
          <w:sz w:val="24"/>
          <w:szCs w:val="24"/>
        </w:rPr>
      </w:pPr>
      <w:r w:rsidRPr="004A3C90">
        <w:rPr>
          <w:sz w:val="24"/>
          <w:szCs w:val="24"/>
        </w:rPr>
        <w:t>Исполнительный директор АГМП остановился также на введении роялти.</w:t>
      </w:r>
    </w:p>
    <w:p w:rsidR="004A3C90" w:rsidRPr="004A3C90" w:rsidRDefault="004A3C90" w:rsidP="004A3C90">
      <w:pPr>
        <w:jc w:val="both"/>
        <w:rPr>
          <w:sz w:val="24"/>
          <w:szCs w:val="24"/>
        </w:rPr>
      </w:pPr>
      <w:r w:rsidRPr="004A3C90">
        <w:rPr>
          <w:sz w:val="24"/>
          <w:szCs w:val="24"/>
        </w:rPr>
        <w:t xml:space="preserve">Роялти – это новые переделы, новые предприятия, новые профессии, — подчеркнул он, заметив, что МИИР РК, как курирующее отрасль ведомство, высказывается в поддержку роялти, однако экономический блок Правительства — Министерство финансов и Министерство </w:t>
      </w:r>
      <w:proofErr w:type="spellStart"/>
      <w:r w:rsidRPr="004A3C90">
        <w:rPr>
          <w:sz w:val="24"/>
          <w:szCs w:val="24"/>
        </w:rPr>
        <w:t>нацэкономики</w:t>
      </w:r>
      <w:proofErr w:type="spellEnd"/>
      <w:r w:rsidRPr="004A3C90">
        <w:rPr>
          <w:sz w:val="24"/>
          <w:szCs w:val="24"/>
        </w:rPr>
        <w:t>, напротив, не поддержали позицию ассоциации и горнодобывающих компаний.</w:t>
      </w:r>
    </w:p>
    <w:p w:rsidR="004A3C90" w:rsidRPr="004A3C90" w:rsidRDefault="004A3C90" w:rsidP="004A3C90">
      <w:pPr>
        <w:jc w:val="both"/>
        <w:rPr>
          <w:sz w:val="24"/>
          <w:szCs w:val="24"/>
        </w:rPr>
      </w:pPr>
      <w:r w:rsidRPr="004A3C90">
        <w:rPr>
          <w:sz w:val="24"/>
          <w:szCs w:val="24"/>
        </w:rPr>
        <w:t xml:space="preserve">Н. </w:t>
      </w:r>
      <w:proofErr w:type="spellStart"/>
      <w:r w:rsidRPr="004A3C90">
        <w:rPr>
          <w:sz w:val="24"/>
          <w:szCs w:val="24"/>
        </w:rPr>
        <w:t>Радостовец</w:t>
      </w:r>
      <w:proofErr w:type="spellEnd"/>
      <w:r w:rsidRPr="004A3C90">
        <w:rPr>
          <w:sz w:val="24"/>
          <w:szCs w:val="24"/>
        </w:rPr>
        <w:t xml:space="preserve"> также убежден в необходимости снятия ограничений на деятельность </w:t>
      </w:r>
      <w:proofErr w:type="spellStart"/>
      <w:r w:rsidRPr="004A3C90">
        <w:rPr>
          <w:sz w:val="24"/>
          <w:szCs w:val="24"/>
        </w:rPr>
        <w:t>недропользователей</w:t>
      </w:r>
      <w:proofErr w:type="spellEnd"/>
      <w:r w:rsidRPr="004A3C90">
        <w:rPr>
          <w:sz w:val="24"/>
          <w:szCs w:val="24"/>
        </w:rPr>
        <w:t xml:space="preserve"> в специальных экономических зонах. Почему бы не создать </w:t>
      </w:r>
      <w:proofErr w:type="spellStart"/>
      <w:r w:rsidRPr="004A3C90">
        <w:rPr>
          <w:sz w:val="24"/>
          <w:szCs w:val="24"/>
        </w:rPr>
        <w:t>СЭЗы</w:t>
      </w:r>
      <w:proofErr w:type="spellEnd"/>
      <w:r w:rsidRPr="004A3C90">
        <w:rPr>
          <w:sz w:val="24"/>
          <w:szCs w:val="24"/>
        </w:rPr>
        <w:t xml:space="preserve"> вокруг крупных компаний – </w:t>
      </w:r>
      <w:proofErr w:type="spellStart"/>
      <w:r w:rsidRPr="004A3C90">
        <w:rPr>
          <w:sz w:val="24"/>
          <w:szCs w:val="24"/>
        </w:rPr>
        <w:t>недропользователей</w:t>
      </w:r>
      <w:proofErr w:type="spellEnd"/>
      <w:r w:rsidRPr="004A3C90">
        <w:rPr>
          <w:sz w:val="24"/>
          <w:szCs w:val="24"/>
        </w:rPr>
        <w:t xml:space="preserve">, и не предоставить им экономические льготы для создания новых компаний, освободив их от налогов? — задал он резонный вопрос. Это способствовало бы более активному развитию </w:t>
      </w:r>
      <w:proofErr w:type="spellStart"/>
      <w:r w:rsidRPr="004A3C90">
        <w:rPr>
          <w:sz w:val="24"/>
          <w:szCs w:val="24"/>
        </w:rPr>
        <w:t>цифровизации</w:t>
      </w:r>
      <w:proofErr w:type="spellEnd"/>
      <w:r w:rsidRPr="004A3C90">
        <w:rPr>
          <w:sz w:val="24"/>
          <w:szCs w:val="24"/>
        </w:rPr>
        <w:t>, трудоустройству людей.</w:t>
      </w:r>
    </w:p>
    <w:p w:rsidR="004A3C90" w:rsidRPr="004A3C90" w:rsidRDefault="004A3C90" w:rsidP="004A3C90">
      <w:pPr>
        <w:jc w:val="both"/>
        <w:rPr>
          <w:sz w:val="24"/>
          <w:szCs w:val="24"/>
        </w:rPr>
      </w:pPr>
      <w:r w:rsidRPr="004A3C90">
        <w:rPr>
          <w:sz w:val="24"/>
          <w:szCs w:val="24"/>
        </w:rPr>
        <w:t xml:space="preserve">Глава ассоциации подчеркнул, что </w:t>
      </w:r>
      <w:proofErr w:type="spellStart"/>
      <w:r w:rsidRPr="004A3C90">
        <w:rPr>
          <w:sz w:val="24"/>
          <w:szCs w:val="24"/>
        </w:rPr>
        <w:t>цифровизация</w:t>
      </w:r>
      <w:proofErr w:type="spellEnd"/>
      <w:r w:rsidRPr="004A3C90">
        <w:rPr>
          <w:sz w:val="24"/>
          <w:szCs w:val="24"/>
        </w:rPr>
        <w:t xml:space="preserve"> нуждается в поддержке со стороны государства не только в плане подготовки кадров, но и в плане стимулирования создания новых рабочих мест, переобучения людей.</w:t>
      </w:r>
    </w:p>
    <w:p w:rsidR="004A3C90" w:rsidRPr="004A3C90" w:rsidRDefault="004A3C90" w:rsidP="004A3C90">
      <w:pPr>
        <w:jc w:val="both"/>
        <w:rPr>
          <w:sz w:val="24"/>
          <w:szCs w:val="24"/>
        </w:rPr>
      </w:pPr>
      <w:proofErr w:type="spellStart"/>
      <w:r w:rsidRPr="004A3C90">
        <w:rPr>
          <w:sz w:val="24"/>
          <w:szCs w:val="24"/>
        </w:rPr>
        <w:lastRenderedPageBreak/>
        <w:t>Цифровизация</w:t>
      </w:r>
      <w:proofErr w:type="spellEnd"/>
      <w:r w:rsidRPr="004A3C90">
        <w:rPr>
          <w:sz w:val="24"/>
          <w:szCs w:val="24"/>
        </w:rPr>
        <w:t xml:space="preserve"> – это новые идеи, это молодежь. Поэтому мы просим МИИР поддержать нас, приняв комплекс экономических стимулирующих мер по внедрению </w:t>
      </w:r>
      <w:proofErr w:type="spellStart"/>
      <w:r w:rsidRPr="004A3C90">
        <w:rPr>
          <w:sz w:val="24"/>
          <w:szCs w:val="24"/>
        </w:rPr>
        <w:t>цифровизации</w:t>
      </w:r>
      <w:proofErr w:type="spellEnd"/>
      <w:r w:rsidRPr="004A3C90">
        <w:rPr>
          <w:sz w:val="24"/>
          <w:szCs w:val="24"/>
        </w:rPr>
        <w:t>. Это будет реальным шагом по ее развитию во всех компаниях, а не только крупных, — отметил он.</w:t>
      </w:r>
    </w:p>
    <w:p w:rsidR="004A3C90" w:rsidRPr="004A3C90" w:rsidRDefault="004A3C90" w:rsidP="004A3C90">
      <w:pPr>
        <w:jc w:val="both"/>
        <w:rPr>
          <w:sz w:val="24"/>
          <w:szCs w:val="24"/>
        </w:rPr>
      </w:pPr>
      <w:r w:rsidRPr="004A3C90">
        <w:rPr>
          <w:sz w:val="24"/>
          <w:szCs w:val="24"/>
        </w:rPr>
        <w:t xml:space="preserve">…Выступая на пресс-конференции, Н. </w:t>
      </w:r>
      <w:proofErr w:type="spellStart"/>
      <w:r w:rsidRPr="004A3C90">
        <w:rPr>
          <w:sz w:val="24"/>
          <w:szCs w:val="24"/>
        </w:rPr>
        <w:t>Радостовец</w:t>
      </w:r>
      <w:proofErr w:type="spellEnd"/>
      <w:r w:rsidRPr="004A3C90">
        <w:rPr>
          <w:sz w:val="24"/>
          <w:szCs w:val="24"/>
        </w:rPr>
        <w:t xml:space="preserve"> сообщил, Совет ГМК при Президенте РК, в который ранее входили только представители министерств и ведомств, будет расширен, и в нем будут представлены также акционеры, руководители крупных и средних горнодобывающих компаний, эксперты. Наряду с этим, Совет ГМК будет обновлен с учетом новых требований, — это будет действующий орган, где перед принятием решений будут выслушиваться мнения многих специалистов.</w:t>
      </w:r>
    </w:p>
    <w:p w:rsidR="004A3C90" w:rsidRDefault="004A3C90" w:rsidP="004A3C90">
      <w:pPr>
        <w:jc w:val="both"/>
        <w:rPr>
          <w:sz w:val="24"/>
          <w:szCs w:val="24"/>
        </w:rPr>
      </w:pPr>
      <w:r w:rsidRPr="004A3C90">
        <w:rPr>
          <w:sz w:val="24"/>
          <w:szCs w:val="24"/>
        </w:rPr>
        <w:t xml:space="preserve">Мы планируем на Совет ГМК в сентябре вынести вопросы принятия тех или иных преференций по IT-технологиям и переподготовке кадров, внедрения роялти, в целом обсудить будущую модель развития ГМК, чтобы было понятно, при каких ставках роялти будут строиться новые заводы и при каких налоговых ставках появятся новые профессии, новые рабочие места. Все это нужно точно обрисовать, чтобы инвестору было понятно, вкладывать ли ему деньги. При существующем сейчас подходе стратегическое развитие отрасли до конца многими инвесторами не просматривается, особенно в части более высоких переделов. И мы хотим этот вопрос акцентировать в свете тех требований, которые возникают в плане </w:t>
      </w:r>
      <w:proofErr w:type="spellStart"/>
      <w:r w:rsidRPr="004A3C90">
        <w:rPr>
          <w:sz w:val="24"/>
          <w:szCs w:val="24"/>
        </w:rPr>
        <w:t>цифровизации</w:t>
      </w:r>
      <w:proofErr w:type="spellEnd"/>
      <w:r w:rsidRPr="004A3C90">
        <w:rPr>
          <w:sz w:val="24"/>
          <w:szCs w:val="24"/>
        </w:rPr>
        <w:t>, создания новых рабочих мест.</w:t>
      </w:r>
    </w:p>
    <w:p w:rsidR="004A3C90" w:rsidRPr="004A3C90" w:rsidRDefault="004A3C90" w:rsidP="004A3C90">
      <w:pPr>
        <w:jc w:val="both"/>
        <w:rPr>
          <w:sz w:val="24"/>
          <w:szCs w:val="24"/>
        </w:rPr>
      </w:pPr>
      <w:proofErr w:type="spellStart"/>
      <w:r w:rsidRPr="004A3C90">
        <w:rPr>
          <w:sz w:val="24"/>
          <w:szCs w:val="24"/>
        </w:rPr>
        <w:t>Н.Радостовец</w:t>
      </w:r>
      <w:proofErr w:type="spellEnd"/>
      <w:r w:rsidRPr="004A3C90">
        <w:rPr>
          <w:sz w:val="24"/>
          <w:szCs w:val="24"/>
        </w:rPr>
        <w:t xml:space="preserve"> выразил надежду, что юбилейный Международный горно-металлургический конгресс «</w:t>
      </w:r>
      <w:proofErr w:type="spellStart"/>
      <w:r w:rsidRPr="004A3C90">
        <w:rPr>
          <w:sz w:val="24"/>
          <w:szCs w:val="24"/>
        </w:rPr>
        <w:t>Astana</w:t>
      </w:r>
      <w:proofErr w:type="spellEnd"/>
      <w:r w:rsidRPr="004A3C90">
        <w:rPr>
          <w:sz w:val="24"/>
          <w:szCs w:val="24"/>
        </w:rPr>
        <w:t xml:space="preserve"> </w:t>
      </w:r>
      <w:proofErr w:type="spellStart"/>
      <w:r w:rsidRPr="004A3C90">
        <w:rPr>
          <w:sz w:val="24"/>
          <w:szCs w:val="24"/>
        </w:rPr>
        <w:t>Mining</w:t>
      </w:r>
      <w:proofErr w:type="spellEnd"/>
      <w:r w:rsidRPr="004A3C90">
        <w:rPr>
          <w:sz w:val="24"/>
          <w:szCs w:val="24"/>
        </w:rPr>
        <w:t xml:space="preserve"> &amp; </w:t>
      </w:r>
      <w:proofErr w:type="spellStart"/>
      <w:r w:rsidRPr="004A3C90">
        <w:rPr>
          <w:sz w:val="24"/>
          <w:szCs w:val="24"/>
        </w:rPr>
        <w:t>Metallurgy</w:t>
      </w:r>
      <w:proofErr w:type="spellEnd"/>
      <w:r w:rsidRPr="004A3C90">
        <w:rPr>
          <w:sz w:val="24"/>
          <w:szCs w:val="24"/>
        </w:rPr>
        <w:t xml:space="preserve">» придаст дополнительный импульс обмену мнениями, поможет еще раз убедиться в том, что </w:t>
      </w:r>
      <w:proofErr w:type="spellStart"/>
      <w:r w:rsidRPr="004A3C90">
        <w:rPr>
          <w:sz w:val="24"/>
          <w:szCs w:val="24"/>
        </w:rPr>
        <w:t>цифровизация</w:t>
      </w:r>
      <w:proofErr w:type="spellEnd"/>
      <w:r w:rsidRPr="004A3C90">
        <w:rPr>
          <w:sz w:val="24"/>
          <w:szCs w:val="24"/>
        </w:rPr>
        <w:t xml:space="preserve"> – это не дань моде, а очень сложное, трудоемкое, затратное дело, которым нужно заниматься всем, — и руководителям, акционерам компаний, и работникам министерств, ведомств, и депутатам, и </w:t>
      </w:r>
      <w:proofErr w:type="spellStart"/>
      <w:r w:rsidRPr="004A3C90">
        <w:rPr>
          <w:sz w:val="24"/>
          <w:szCs w:val="24"/>
        </w:rPr>
        <w:t>акимам</w:t>
      </w:r>
      <w:proofErr w:type="spellEnd"/>
      <w:r w:rsidRPr="004A3C90">
        <w:rPr>
          <w:sz w:val="24"/>
          <w:szCs w:val="24"/>
        </w:rPr>
        <w:t>.</w:t>
      </w:r>
    </w:p>
    <w:p w:rsidR="004A3C90" w:rsidRPr="004A3C90" w:rsidRDefault="004A3C90" w:rsidP="004A3C90">
      <w:pPr>
        <w:jc w:val="both"/>
        <w:rPr>
          <w:sz w:val="24"/>
          <w:szCs w:val="24"/>
        </w:rPr>
      </w:pPr>
      <w:r w:rsidRPr="004A3C90">
        <w:rPr>
          <w:sz w:val="24"/>
          <w:szCs w:val="24"/>
        </w:rPr>
        <w:t xml:space="preserve">– Нужно помочь с тем, чтобы вложить огромные средства в человеческий капитал. Без повышения уровня человеческого капитала в Казахстане вопросы невозможно будет адекватно решить вопросы </w:t>
      </w:r>
      <w:proofErr w:type="spellStart"/>
      <w:r w:rsidRPr="004A3C90">
        <w:rPr>
          <w:sz w:val="24"/>
          <w:szCs w:val="24"/>
        </w:rPr>
        <w:t>цифровизации</w:t>
      </w:r>
      <w:proofErr w:type="spellEnd"/>
      <w:r w:rsidRPr="004A3C90">
        <w:rPr>
          <w:sz w:val="24"/>
          <w:szCs w:val="24"/>
        </w:rPr>
        <w:t>. А это один из самых главных вопросов сегодня, — заключил он.</w:t>
      </w:r>
    </w:p>
    <w:p w:rsidR="00F4025A" w:rsidRPr="004F1711" w:rsidRDefault="00F4025A" w:rsidP="004A3C90">
      <w:pPr>
        <w:jc w:val="both"/>
        <w:rPr>
          <w:b/>
          <w:sz w:val="24"/>
          <w:szCs w:val="24"/>
        </w:rPr>
      </w:pPr>
      <w:bookmarkStart w:id="0" w:name="_GoBack"/>
      <w:bookmarkEnd w:id="0"/>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lastRenderedPageBreak/>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43" w:rsidRDefault="00366843" w:rsidP="00DE2BF8">
      <w:pPr>
        <w:spacing w:after="0" w:line="240" w:lineRule="auto"/>
      </w:pPr>
      <w:r>
        <w:separator/>
      </w:r>
    </w:p>
  </w:endnote>
  <w:endnote w:type="continuationSeparator" w:id="0">
    <w:p w:rsidR="00366843" w:rsidRDefault="00366843"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43" w:rsidRDefault="00366843" w:rsidP="00DE2BF8">
      <w:pPr>
        <w:spacing w:after="0" w:line="240" w:lineRule="auto"/>
      </w:pPr>
      <w:r>
        <w:separator/>
      </w:r>
    </w:p>
  </w:footnote>
  <w:footnote w:type="continuationSeparator" w:id="0">
    <w:p w:rsidR="00366843" w:rsidRDefault="00366843"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722B"/>
    <w:rsid w:val="00295EEA"/>
    <w:rsid w:val="003231F7"/>
    <w:rsid w:val="00366843"/>
    <w:rsid w:val="00386DEF"/>
    <w:rsid w:val="003C428F"/>
    <w:rsid w:val="004158D5"/>
    <w:rsid w:val="00434963"/>
    <w:rsid w:val="00477B80"/>
    <w:rsid w:val="004A3C90"/>
    <w:rsid w:val="004A558E"/>
    <w:rsid w:val="004F1711"/>
    <w:rsid w:val="00536503"/>
    <w:rsid w:val="00597DE7"/>
    <w:rsid w:val="006476EC"/>
    <w:rsid w:val="006A60AC"/>
    <w:rsid w:val="00745C16"/>
    <w:rsid w:val="007D6FFB"/>
    <w:rsid w:val="007E25E3"/>
    <w:rsid w:val="009A1744"/>
    <w:rsid w:val="00A15693"/>
    <w:rsid w:val="00A23547"/>
    <w:rsid w:val="00C51F7B"/>
    <w:rsid w:val="00CA7259"/>
    <w:rsid w:val="00D75CBD"/>
    <w:rsid w:val="00DC180F"/>
    <w:rsid w:val="00DC2843"/>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2019-10-09T12:56:00Z</dcterms:created>
  <dcterms:modified xsi:type="dcterms:W3CDTF">2019-10-09T12:56:00Z</dcterms:modified>
</cp:coreProperties>
</file>