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D5" w:rsidRDefault="004158D5" w:rsidP="004158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ПРЕСС-РЕЛИЗ</w:t>
      </w:r>
    </w:p>
    <w:p w:rsidR="004158D5" w:rsidRDefault="00F24089" w:rsidP="0041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A7259">
        <w:rPr>
          <w:b/>
          <w:sz w:val="24"/>
          <w:szCs w:val="24"/>
        </w:rPr>
        <w:t>5</w:t>
      </w:r>
      <w:r w:rsidR="00536503">
        <w:rPr>
          <w:b/>
          <w:sz w:val="24"/>
          <w:szCs w:val="24"/>
        </w:rPr>
        <w:t xml:space="preserve"> июня </w:t>
      </w:r>
      <w:r w:rsidR="004158D5">
        <w:rPr>
          <w:b/>
          <w:sz w:val="24"/>
          <w:szCs w:val="24"/>
        </w:rPr>
        <w:t>201</w:t>
      </w:r>
      <w:r w:rsidR="00E10E91">
        <w:rPr>
          <w:b/>
          <w:sz w:val="24"/>
          <w:szCs w:val="24"/>
        </w:rPr>
        <w:t>9</w:t>
      </w:r>
      <w:r w:rsidR="004158D5">
        <w:rPr>
          <w:b/>
          <w:sz w:val="24"/>
          <w:szCs w:val="24"/>
        </w:rPr>
        <w:t xml:space="preserve"> г.</w:t>
      </w:r>
    </w:p>
    <w:p w:rsidR="004158D5" w:rsidRDefault="00536503" w:rsidP="0041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4158D5">
        <w:rPr>
          <w:b/>
          <w:sz w:val="24"/>
          <w:szCs w:val="24"/>
        </w:rPr>
        <w:t xml:space="preserve">. </w:t>
      </w:r>
      <w:proofErr w:type="spellStart"/>
      <w:r w:rsidR="00E10E91">
        <w:rPr>
          <w:b/>
          <w:sz w:val="24"/>
          <w:szCs w:val="24"/>
        </w:rPr>
        <w:t>Нур</w:t>
      </w:r>
      <w:proofErr w:type="spellEnd"/>
      <w:r w:rsidR="00E10E91">
        <w:rPr>
          <w:b/>
          <w:sz w:val="24"/>
          <w:szCs w:val="24"/>
        </w:rPr>
        <w:t>-Султан</w:t>
      </w:r>
    </w:p>
    <w:p w:rsidR="00CA7259" w:rsidRDefault="00CA7259" w:rsidP="00CA7259">
      <w:pPr>
        <w:jc w:val="both"/>
        <w:rPr>
          <w:b/>
          <w:sz w:val="24"/>
          <w:szCs w:val="24"/>
        </w:rPr>
      </w:pPr>
    </w:p>
    <w:p w:rsidR="00CA7259" w:rsidRPr="00CA7259" w:rsidRDefault="00CA7259" w:rsidP="00CA7259">
      <w:pPr>
        <w:jc w:val="center"/>
        <w:rPr>
          <w:b/>
          <w:sz w:val="24"/>
          <w:szCs w:val="24"/>
        </w:rPr>
      </w:pPr>
      <w:r w:rsidRPr="00CA7259">
        <w:rPr>
          <w:b/>
          <w:sz w:val="24"/>
          <w:szCs w:val="24"/>
        </w:rPr>
        <w:t>Налоги должны стимулировать инвестиции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r w:rsidRPr="00CA7259">
        <w:rPr>
          <w:sz w:val="24"/>
          <w:szCs w:val="24"/>
        </w:rPr>
        <w:t xml:space="preserve">Переход горнодобывающих предприятий на роялти стал основной темой дискуссий, состоявшихся на «круглом столе» на тему «Актуальные вопросы налогообложения </w:t>
      </w:r>
      <w:proofErr w:type="spellStart"/>
      <w:r w:rsidRPr="00CA7259">
        <w:rPr>
          <w:sz w:val="24"/>
          <w:szCs w:val="24"/>
        </w:rPr>
        <w:t>недропользователей</w:t>
      </w:r>
      <w:proofErr w:type="spellEnd"/>
      <w:r w:rsidRPr="00CA7259">
        <w:rPr>
          <w:sz w:val="24"/>
          <w:szCs w:val="24"/>
        </w:rPr>
        <w:t>» на площадке Конгресса «</w:t>
      </w:r>
      <w:proofErr w:type="spellStart"/>
      <w:r w:rsidRPr="00CA7259">
        <w:rPr>
          <w:sz w:val="24"/>
          <w:szCs w:val="24"/>
        </w:rPr>
        <w:t>Astana</w:t>
      </w:r>
      <w:proofErr w:type="spellEnd"/>
      <w:r w:rsidRPr="00CA7259">
        <w:rPr>
          <w:sz w:val="24"/>
          <w:szCs w:val="24"/>
        </w:rPr>
        <w:t xml:space="preserve"> </w:t>
      </w:r>
      <w:proofErr w:type="spellStart"/>
      <w:r w:rsidRPr="00CA7259">
        <w:rPr>
          <w:sz w:val="24"/>
          <w:szCs w:val="24"/>
        </w:rPr>
        <w:t>Mining</w:t>
      </w:r>
      <w:proofErr w:type="spellEnd"/>
      <w:r w:rsidRPr="00CA7259">
        <w:rPr>
          <w:sz w:val="24"/>
          <w:szCs w:val="24"/>
        </w:rPr>
        <w:t xml:space="preserve"> &amp; </w:t>
      </w:r>
      <w:proofErr w:type="spellStart"/>
      <w:r w:rsidRPr="00CA7259">
        <w:rPr>
          <w:sz w:val="24"/>
          <w:szCs w:val="24"/>
        </w:rPr>
        <w:t>Metallurgy</w:t>
      </w:r>
      <w:proofErr w:type="spellEnd"/>
      <w:r w:rsidRPr="00CA7259">
        <w:rPr>
          <w:sz w:val="24"/>
          <w:szCs w:val="24"/>
        </w:rPr>
        <w:t xml:space="preserve">» под председательством заместителя исполнительного директора АГМП Максима Кононова. В мероприятии приняли участие представители Министерства национальной экономики РК, Министерства финансов РК, горнодобывающих предприятий, KPMG, </w:t>
      </w:r>
      <w:proofErr w:type="spellStart"/>
      <w:r w:rsidRPr="00CA7259">
        <w:rPr>
          <w:sz w:val="24"/>
          <w:szCs w:val="24"/>
        </w:rPr>
        <w:t>Ernst</w:t>
      </w:r>
      <w:proofErr w:type="spellEnd"/>
      <w:r w:rsidRPr="00CA7259">
        <w:rPr>
          <w:sz w:val="24"/>
          <w:szCs w:val="24"/>
        </w:rPr>
        <w:t xml:space="preserve"> &amp; </w:t>
      </w:r>
      <w:proofErr w:type="spellStart"/>
      <w:r w:rsidRPr="00CA7259">
        <w:rPr>
          <w:sz w:val="24"/>
          <w:szCs w:val="24"/>
        </w:rPr>
        <w:t>Young</w:t>
      </w:r>
      <w:proofErr w:type="spellEnd"/>
      <w:r w:rsidRPr="00CA7259">
        <w:rPr>
          <w:sz w:val="24"/>
          <w:szCs w:val="24"/>
        </w:rPr>
        <w:t xml:space="preserve">, </w:t>
      </w:r>
      <w:proofErr w:type="spellStart"/>
      <w:r w:rsidRPr="00CA7259">
        <w:rPr>
          <w:sz w:val="24"/>
          <w:szCs w:val="24"/>
        </w:rPr>
        <w:t>Olympex</w:t>
      </w:r>
      <w:proofErr w:type="spellEnd"/>
      <w:r w:rsidRPr="00CA7259">
        <w:rPr>
          <w:sz w:val="24"/>
          <w:szCs w:val="24"/>
        </w:rPr>
        <w:t xml:space="preserve"> </w:t>
      </w:r>
      <w:proofErr w:type="spellStart"/>
      <w:r w:rsidRPr="00CA7259">
        <w:rPr>
          <w:sz w:val="24"/>
          <w:szCs w:val="24"/>
        </w:rPr>
        <w:t>Advisers</w:t>
      </w:r>
      <w:proofErr w:type="spellEnd"/>
      <w:r w:rsidRPr="00CA7259">
        <w:rPr>
          <w:sz w:val="24"/>
          <w:szCs w:val="24"/>
        </w:rPr>
        <w:t>.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r w:rsidRPr="00CA7259">
        <w:rPr>
          <w:sz w:val="24"/>
          <w:szCs w:val="24"/>
        </w:rPr>
        <w:t xml:space="preserve">В своем выступлении управляющий директор </w:t>
      </w:r>
      <w:proofErr w:type="spellStart"/>
      <w:r w:rsidRPr="00CA7259">
        <w:rPr>
          <w:sz w:val="24"/>
          <w:szCs w:val="24"/>
        </w:rPr>
        <w:t>Olympex</w:t>
      </w:r>
      <w:proofErr w:type="spellEnd"/>
      <w:r w:rsidRPr="00CA7259">
        <w:rPr>
          <w:sz w:val="24"/>
          <w:szCs w:val="24"/>
        </w:rPr>
        <w:t xml:space="preserve"> </w:t>
      </w:r>
      <w:proofErr w:type="spellStart"/>
      <w:r w:rsidRPr="00CA7259">
        <w:rPr>
          <w:sz w:val="24"/>
          <w:szCs w:val="24"/>
        </w:rPr>
        <w:t>Advisers</w:t>
      </w:r>
      <w:proofErr w:type="spellEnd"/>
      <w:r w:rsidRPr="00CA7259">
        <w:rPr>
          <w:sz w:val="24"/>
          <w:szCs w:val="24"/>
        </w:rPr>
        <w:t xml:space="preserve"> Дияр </w:t>
      </w:r>
      <w:proofErr w:type="spellStart"/>
      <w:r w:rsidRPr="00CA7259">
        <w:rPr>
          <w:sz w:val="24"/>
          <w:szCs w:val="24"/>
        </w:rPr>
        <w:t>Ерешев</w:t>
      </w:r>
      <w:proofErr w:type="spellEnd"/>
      <w:r w:rsidRPr="00CA7259">
        <w:rPr>
          <w:sz w:val="24"/>
          <w:szCs w:val="24"/>
        </w:rPr>
        <w:t xml:space="preserve"> поделился мнением об адаптации системы налогообложения к реалиям новой системы недропользования. В частности, он выразил обеспокоенность проблемами ведения раздельного учета по налогам при переходе с контрактов на лицензии.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r w:rsidRPr="00CA7259">
        <w:rPr>
          <w:sz w:val="24"/>
          <w:szCs w:val="24"/>
        </w:rPr>
        <w:t xml:space="preserve">— Когда </w:t>
      </w:r>
      <w:proofErr w:type="spellStart"/>
      <w:r w:rsidRPr="00CA7259">
        <w:rPr>
          <w:sz w:val="24"/>
          <w:szCs w:val="24"/>
        </w:rPr>
        <w:t>недропользователь</w:t>
      </w:r>
      <w:proofErr w:type="spellEnd"/>
      <w:r w:rsidRPr="00CA7259">
        <w:rPr>
          <w:sz w:val="24"/>
          <w:szCs w:val="24"/>
        </w:rPr>
        <w:t xml:space="preserve"> получает лицензию, контракт у него перестает действовать, в итоге он получает новый контракт, — прокомментировал эксперт. — Хотя это называется «лицензия», но по терминологии Налогового кодекса это будет уже новым контрактом. При этом все затраты прошлого периода </w:t>
      </w:r>
      <w:proofErr w:type="spellStart"/>
      <w:r w:rsidRPr="00CA7259">
        <w:rPr>
          <w:sz w:val="24"/>
          <w:szCs w:val="24"/>
        </w:rPr>
        <w:t>недропользователя</w:t>
      </w:r>
      <w:proofErr w:type="spellEnd"/>
      <w:r w:rsidRPr="00CA7259">
        <w:rPr>
          <w:sz w:val="24"/>
          <w:szCs w:val="24"/>
        </w:rPr>
        <w:t xml:space="preserve"> должны уходить со старым контрактом, и в новой лицензии </w:t>
      </w:r>
      <w:proofErr w:type="spellStart"/>
      <w:r w:rsidRPr="00CA7259">
        <w:rPr>
          <w:sz w:val="24"/>
          <w:szCs w:val="24"/>
        </w:rPr>
        <w:t>недропользователь</w:t>
      </w:r>
      <w:proofErr w:type="spellEnd"/>
      <w:r w:rsidRPr="00CA7259">
        <w:rPr>
          <w:sz w:val="24"/>
          <w:szCs w:val="24"/>
        </w:rPr>
        <w:t xml:space="preserve"> уже не сможет учесть эти затраты. Хотя по логике вещей он не должен терять все накопленные затраты и инвестиции, — но по факту это происходит, и он получает «голый» контракт с нуля.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r w:rsidRPr="00CA7259">
        <w:rPr>
          <w:sz w:val="24"/>
          <w:szCs w:val="24"/>
        </w:rPr>
        <w:t xml:space="preserve">Отвечая на этот вопрос, директор Департамента налоговой и таможенной политики МНЭ РК </w:t>
      </w:r>
      <w:proofErr w:type="spellStart"/>
      <w:r w:rsidRPr="00CA7259">
        <w:rPr>
          <w:sz w:val="24"/>
          <w:szCs w:val="24"/>
        </w:rPr>
        <w:t>Азамат</w:t>
      </w:r>
      <w:proofErr w:type="spellEnd"/>
      <w:r w:rsidRPr="00CA7259">
        <w:rPr>
          <w:sz w:val="24"/>
          <w:szCs w:val="24"/>
        </w:rPr>
        <w:t xml:space="preserve"> </w:t>
      </w:r>
      <w:proofErr w:type="spellStart"/>
      <w:r w:rsidRPr="00CA7259">
        <w:rPr>
          <w:sz w:val="24"/>
          <w:szCs w:val="24"/>
        </w:rPr>
        <w:t>Амрин</w:t>
      </w:r>
      <w:proofErr w:type="spellEnd"/>
      <w:r w:rsidRPr="00CA7259">
        <w:rPr>
          <w:sz w:val="24"/>
          <w:szCs w:val="24"/>
        </w:rPr>
        <w:t xml:space="preserve"> заверил, что он будет урегулирован. Это изменение в законодательный акт проходит окончательную стадию разработки в МНЭ и будет направлено на согласование в государственные органы, аккредитованные организации, в том числе в АГМП. Вопрос будет обсуждаться на совещаниях, «круглых столах», по нему можно будет давать замечания на сайте министерства.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r w:rsidRPr="00CA7259">
        <w:rPr>
          <w:sz w:val="24"/>
          <w:szCs w:val="24"/>
        </w:rPr>
        <w:t xml:space="preserve">Поправок в Налоговый кодекс, по мнению Д. </w:t>
      </w:r>
      <w:proofErr w:type="spellStart"/>
      <w:r w:rsidRPr="00CA7259">
        <w:rPr>
          <w:sz w:val="24"/>
          <w:szCs w:val="24"/>
        </w:rPr>
        <w:t>Ерешева</w:t>
      </w:r>
      <w:proofErr w:type="spellEnd"/>
      <w:r w:rsidRPr="00CA7259">
        <w:rPr>
          <w:sz w:val="24"/>
          <w:szCs w:val="24"/>
        </w:rPr>
        <w:t xml:space="preserve">, требует и другой вопрос. По новому Кодексу о недрах и недропользовании ужесточается система ликвидации последствий недропользования, согласно которой вместо ликвидационного фонда внедряется инструмент обеспечения по ликвидации. Если раньше </w:t>
      </w:r>
      <w:proofErr w:type="spellStart"/>
      <w:r w:rsidRPr="00CA7259">
        <w:rPr>
          <w:sz w:val="24"/>
          <w:szCs w:val="24"/>
        </w:rPr>
        <w:t>ликвидфонд</w:t>
      </w:r>
      <w:proofErr w:type="spellEnd"/>
      <w:r w:rsidRPr="00CA7259">
        <w:rPr>
          <w:sz w:val="24"/>
          <w:szCs w:val="24"/>
        </w:rPr>
        <w:t xml:space="preserve"> формировался в виде фиксированных отчислений в 1% от затрат, то теперь это будет сумма, необходимая на всю стоимость ликвидации. При этом Кодекс о недрах предписывает, чтобы к концу действия контракта основная сумма обеспечения формировалась либо в виде залога банковского вклада, либо определенной суммы денег, обеспечивающих эти расходы.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r w:rsidRPr="00CA7259">
        <w:rPr>
          <w:sz w:val="24"/>
          <w:szCs w:val="24"/>
        </w:rPr>
        <w:t xml:space="preserve">— Если сейчас не разработать механизм, то может получиться так, что </w:t>
      </w:r>
      <w:proofErr w:type="spellStart"/>
      <w:r w:rsidRPr="00CA7259">
        <w:rPr>
          <w:sz w:val="24"/>
          <w:szCs w:val="24"/>
        </w:rPr>
        <w:t>недропользователю</w:t>
      </w:r>
      <w:proofErr w:type="spellEnd"/>
      <w:r w:rsidRPr="00CA7259">
        <w:rPr>
          <w:sz w:val="24"/>
          <w:szCs w:val="24"/>
        </w:rPr>
        <w:t xml:space="preserve"> за счет собственных средств придется, допустим, проводить ликвидацию карьера, — поделился опасениями Д. </w:t>
      </w:r>
      <w:proofErr w:type="spellStart"/>
      <w:r w:rsidRPr="00CA7259">
        <w:rPr>
          <w:sz w:val="24"/>
          <w:szCs w:val="24"/>
        </w:rPr>
        <w:t>Ерешев</w:t>
      </w:r>
      <w:proofErr w:type="spellEnd"/>
      <w:r w:rsidRPr="00CA7259">
        <w:rPr>
          <w:sz w:val="24"/>
          <w:szCs w:val="24"/>
        </w:rPr>
        <w:t xml:space="preserve">. – Мы </w:t>
      </w:r>
      <w:r w:rsidRPr="00CA7259">
        <w:rPr>
          <w:sz w:val="24"/>
          <w:szCs w:val="24"/>
        </w:rPr>
        <w:lastRenderedPageBreak/>
        <w:t>надеемся, что соответствующие коррективы будут включены в окончательную версию поправок в Налоговый кодекс.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r w:rsidRPr="00CA7259">
        <w:rPr>
          <w:sz w:val="24"/>
          <w:szCs w:val="24"/>
        </w:rPr>
        <w:t xml:space="preserve">На этот счет </w:t>
      </w:r>
      <w:proofErr w:type="spellStart"/>
      <w:r w:rsidRPr="00CA7259">
        <w:rPr>
          <w:sz w:val="24"/>
          <w:szCs w:val="24"/>
        </w:rPr>
        <w:t>А.Амрин</w:t>
      </w:r>
      <w:proofErr w:type="spellEnd"/>
      <w:r w:rsidRPr="00CA7259">
        <w:rPr>
          <w:sz w:val="24"/>
          <w:szCs w:val="24"/>
        </w:rPr>
        <w:t xml:space="preserve"> прокомментировал, что раньше </w:t>
      </w:r>
      <w:proofErr w:type="spellStart"/>
      <w:r w:rsidRPr="00CA7259">
        <w:rPr>
          <w:sz w:val="24"/>
          <w:szCs w:val="24"/>
        </w:rPr>
        <w:t>недропользователи</w:t>
      </w:r>
      <w:proofErr w:type="spellEnd"/>
      <w:r w:rsidRPr="00CA7259">
        <w:rPr>
          <w:sz w:val="24"/>
          <w:szCs w:val="24"/>
        </w:rPr>
        <w:t xml:space="preserve"> откладывали деньги отдельно на ликвидацию, теперь можно делать и страхование. Компании хотят относить страховые выплаты на вычеты. Но, по его словам, сумма потерь в таком случае превышает сумму тех выгод, которые будет иметь государство. Однако если будут другие доводы, то министерство готово их рассматривать и обсуждать.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r w:rsidRPr="00CA7259">
        <w:rPr>
          <w:sz w:val="24"/>
          <w:szCs w:val="24"/>
        </w:rPr>
        <w:t xml:space="preserve">Управляющий директор </w:t>
      </w:r>
      <w:proofErr w:type="spellStart"/>
      <w:r w:rsidRPr="00CA7259">
        <w:rPr>
          <w:sz w:val="24"/>
          <w:szCs w:val="24"/>
        </w:rPr>
        <w:t>Olympex</w:t>
      </w:r>
      <w:proofErr w:type="spellEnd"/>
      <w:r w:rsidRPr="00CA7259">
        <w:rPr>
          <w:sz w:val="24"/>
          <w:szCs w:val="24"/>
        </w:rPr>
        <w:t xml:space="preserve"> </w:t>
      </w:r>
      <w:proofErr w:type="spellStart"/>
      <w:r w:rsidRPr="00CA7259">
        <w:rPr>
          <w:sz w:val="24"/>
          <w:szCs w:val="24"/>
        </w:rPr>
        <w:t>Advisers</w:t>
      </w:r>
      <w:proofErr w:type="spellEnd"/>
      <w:r w:rsidRPr="00CA7259">
        <w:rPr>
          <w:sz w:val="24"/>
          <w:szCs w:val="24"/>
        </w:rPr>
        <w:t xml:space="preserve"> остановился и на вопросе, связанном с переходом на международную систему по подсчету запасов.  Как следует из австралийского опыта, налоговые органы этой страны не принимают во внимание наличие подсчета запасов, не вмешиваются в недропользование в принципе. Они облагают только конечный результат, что с точки зрения экономической логики правильно.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r w:rsidRPr="00CA7259">
        <w:rPr>
          <w:sz w:val="24"/>
          <w:szCs w:val="24"/>
        </w:rPr>
        <w:t xml:space="preserve">— У нас </w:t>
      </w:r>
      <w:proofErr w:type="spellStart"/>
      <w:r w:rsidRPr="00CA7259">
        <w:rPr>
          <w:sz w:val="24"/>
          <w:szCs w:val="24"/>
        </w:rPr>
        <w:t>недропользователь</w:t>
      </w:r>
      <w:proofErr w:type="spellEnd"/>
      <w:r w:rsidRPr="00CA7259">
        <w:rPr>
          <w:sz w:val="24"/>
          <w:szCs w:val="24"/>
        </w:rPr>
        <w:t xml:space="preserve"> произвел добычу, неважно, продал ли он добытое сырье, – его облагают налогом. Но это не справедливый подход. Недропользование, как бизнес, должно иметь экономическую логику, — посетовал он. — Мы – одна из немногих стран, которые облагают по факту не результат деятельности, а саму деятельность, без оглядки на то, получает </w:t>
      </w:r>
      <w:proofErr w:type="spellStart"/>
      <w:r w:rsidRPr="00CA7259">
        <w:rPr>
          <w:sz w:val="24"/>
          <w:szCs w:val="24"/>
        </w:rPr>
        <w:t>недропользователь</w:t>
      </w:r>
      <w:proofErr w:type="spellEnd"/>
      <w:r w:rsidRPr="00CA7259">
        <w:rPr>
          <w:sz w:val="24"/>
          <w:szCs w:val="24"/>
        </w:rPr>
        <w:t xml:space="preserve"> из этого выгоду или нет.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r w:rsidRPr="00CA7259">
        <w:rPr>
          <w:sz w:val="24"/>
          <w:szCs w:val="24"/>
        </w:rPr>
        <w:t>В продолжение темы перехода на роялти партнер, руководитель департамента налогового и юридического консультирования KPMG в Казахстане и Центральной Азии Рустем Садыков представил международный опыт регулирования минеральных роялти, в частности, минеральных роялти на твердые полезные ископаемые.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r w:rsidRPr="00CA7259">
        <w:rPr>
          <w:sz w:val="24"/>
          <w:szCs w:val="24"/>
        </w:rPr>
        <w:t xml:space="preserve">— Когда мы говорим о минеральных роялти, мы подразумеваем плату собственнику недр за право изымать минеральное сырье из этих недр, — констатировал он. — Вид этой платы может принимать множество форм. Критичным является то, что роялти — это всегда налоговый платеж на добычу. Налогооблагаемым событием является именно добыча минерального сырья, а не реализация этого сырья и не получение </w:t>
      </w:r>
      <w:proofErr w:type="spellStart"/>
      <w:r w:rsidRPr="00CA7259">
        <w:rPr>
          <w:sz w:val="24"/>
          <w:szCs w:val="24"/>
        </w:rPr>
        <w:t>недропользователем</w:t>
      </w:r>
      <w:proofErr w:type="spellEnd"/>
      <w:r w:rsidRPr="00CA7259">
        <w:rPr>
          <w:sz w:val="24"/>
          <w:szCs w:val="24"/>
        </w:rPr>
        <w:t xml:space="preserve"> прибыли от этой реализации. Добыча – это то, что влечет за собой возникновение налоговых обязательств у </w:t>
      </w:r>
      <w:proofErr w:type="spellStart"/>
      <w:r w:rsidRPr="00CA7259">
        <w:rPr>
          <w:sz w:val="24"/>
          <w:szCs w:val="24"/>
        </w:rPr>
        <w:t>недропользователя</w:t>
      </w:r>
      <w:proofErr w:type="spellEnd"/>
      <w:r w:rsidRPr="00CA7259">
        <w:rPr>
          <w:sz w:val="24"/>
          <w:szCs w:val="24"/>
        </w:rPr>
        <w:t>.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r w:rsidRPr="00CA7259">
        <w:rPr>
          <w:sz w:val="24"/>
          <w:szCs w:val="24"/>
        </w:rPr>
        <w:t xml:space="preserve">Это важный момент, потому что с точки зрения фискальной экономики все налоги делятся на авансовые и </w:t>
      </w:r>
      <w:proofErr w:type="spellStart"/>
      <w:r w:rsidRPr="00CA7259">
        <w:rPr>
          <w:sz w:val="24"/>
          <w:szCs w:val="24"/>
        </w:rPr>
        <w:t>посттранзакционные</w:t>
      </w:r>
      <w:proofErr w:type="spellEnd"/>
      <w:r w:rsidRPr="00CA7259">
        <w:rPr>
          <w:sz w:val="24"/>
          <w:szCs w:val="24"/>
        </w:rPr>
        <w:t xml:space="preserve"> налоги. Авансовые налоги – это налоги, обязательство по уплате которых наступает авансом, до момента получения налогоплательщиком прибыли для уплаты этого налога. </w:t>
      </w:r>
      <w:proofErr w:type="spellStart"/>
      <w:r w:rsidRPr="00CA7259">
        <w:rPr>
          <w:sz w:val="24"/>
          <w:szCs w:val="24"/>
        </w:rPr>
        <w:t>Посттранзакционные</w:t>
      </w:r>
      <w:proofErr w:type="spellEnd"/>
      <w:r w:rsidRPr="00CA7259">
        <w:rPr>
          <w:sz w:val="24"/>
          <w:szCs w:val="24"/>
        </w:rPr>
        <w:t xml:space="preserve"> налоги – это налоги, обязательство по уплате которых наступает после получения налогоплательщиком прибыли для уплаты этого налога.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proofErr w:type="spellStart"/>
      <w:r w:rsidRPr="00CA7259">
        <w:rPr>
          <w:sz w:val="24"/>
          <w:szCs w:val="24"/>
        </w:rPr>
        <w:t>Р.Садыков</w:t>
      </w:r>
      <w:proofErr w:type="spellEnd"/>
      <w:r w:rsidRPr="00CA7259">
        <w:rPr>
          <w:sz w:val="24"/>
          <w:szCs w:val="24"/>
        </w:rPr>
        <w:t xml:space="preserve"> акцентировал внимание на том, что авансовые налоги нечувствительны к рентабельности. Авансовая природа роялти делает его абсолютно нечувствительным к результатам экономической деятельности предприятия-</w:t>
      </w:r>
      <w:proofErr w:type="spellStart"/>
      <w:r w:rsidRPr="00CA7259">
        <w:rPr>
          <w:sz w:val="24"/>
          <w:szCs w:val="24"/>
        </w:rPr>
        <w:t>недропользователя</w:t>
      </w:r>
      <w:proofErr w:type="spellEnd"/>
      <w:r w:rsidRPr="00CA7259">
        <w:rPr>
          <w:sz w:val="24"/>
          <w:szCs w:val="24"/>
        </w:rPr>
        <w:t>. Такая нечувствительность роялти к рентабельности предприятия является положительной для экономики налогоплательщика только при условии, что ценовая конъюнктура на добываемое минеральное сырье всегда будет благоприятной. В реальной жизни такого, конечно же, не происходит.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r w:rsidRPr="00CA7259">
        <w:rPr>
          <w:sz w:val="24"/>
          <w:szCs w:val="24"/>
        </w:rPr>
        <w:lastRenderedPageBreak/>
        <w:t>— Налоги – это инструмент привлечения новых инвесторов, — продолжил спикер. — Современная фискальная наука говорит, что если налоговая система не способствует привлечению в экономику новых инвесторов, то это некачественная налоговая система. Большее количество налогооблагаемых субъектов в экономике позволяет государству снизить эффективную налоговую нагрузку на каждого отдельного субъекта или, по крайне мере, не увеличивать ее. Это в свою очередь мотивирует налогоплательщиков к менее агрессивному налоговому поведению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r w:rsidRPr="00CA7259">
        <w:rPr>
          <w:sz w:val="24"/>
          <w:szCs w:val="24"/>
        </w:rPr>
        <w:t>Как снизить нечувствительность роялти к рентабельности? С точки зрения Р. Садыкова, налоговая база должна как можно в большей степени отражать реальную экономику проекта. Например, налоговая база, основанная на фактических ценах реализации, а не на биржевых котировках или каких-либо расчетных величинах. Если налоговая база будет отрегулирована таким образом, то налоговая ставка будет тем инструментом, который все равно останется в арсенале государства для регулирования объема налоговых поступлений.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r w:rsidRPr="00CA7259">
        <w:rPr>
          <w:sz w:val="24"/>
          <w:szCs w:val="24"/>
        </w:rPr>
        <w:t xml:space="preserve">С докладом на тему «Предпосылки к переходу на роялти в условиях использования международной системы учета запасов полезных ископаемых» выступил директор по правовым вопросам и недропользованию ТОО «Полиметалл Евразия» Абай </w:t>
      </w:r>
      <w:proofErr w:type="spellStart"/>
      <w:r w:rsidRPr="00CA7259">
        <w:rPr>
          <w:sz w:val="24"/>
          <w:szCs w:val="24"/>
        </w:rPr>
        <w:t>Худайбергенов</w:t>
      </w:r>
      <w:proofErr w:type="spellEnd"/>
      <w:r w:rsidRPr="00CA7259">
        <w:rPr>
          <w:sz w:val="24"/>
          <w:szCs w:val="24"/>
        </w:rPr>
        <w:t xml:space="preserve">. Он обратил внимание на проблемы, которые могут возникнуть при переходе на стандарты </w:t>
      </w:r>
      <w:proofErr w:type="spellStart"/>
      <w:r w:rsidRPr="00CA7259">
        <w:rPr>
          <w:sz w:val="24"/>
          <w:szCs w:val="24"/>
        </w:rPr>
        <w:t>KazRC</w:t>
      </w:r>
      <w:proofErr w:type="spellEnd"/>
      <w:r w:rsidRPr="00CA7259">
        <w:rPr>
          <w:sz w:val="24"/>
          <w:szCs w:val="24"/>
        </w:rPr>
        <w:t>, и у государства, и у налогоплательщика.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r w:rsidRPr="00CA7259">
        <w:rPr>
          <w:sz w:val="24"/>
          <w:szCs w:val="24"/>
        </w:rPr>
        <w:t xml:space="preserve">— Что будет объектом налогообложения при переходе на стандарты </w:t>
      </w:r>
      <w:proofErr w:type="spellStart"/>
      <w:r w:rsidRPr="00CA7259">
        <w:rPr>
          <w:sz w:val="24"/>
          <w:szCs w:val="24"/>
        </w:rPr>
        <w:t>KazRC</w:t>
      </w:r>
      <w:proofErr w:type="spellEnd"/>
      <w:r w:rsidRPr="00CA7259">
        <w:rPr>
          <w:sz w:val="24"/>
          <w:szCs w:val="24"/>
        </w:rPr>
        <w:t xml:space="preserve"> — минеральные ресурсы или минеральные запасы?  — сказал он. — Логичным будет определить объектом налогообложения минеральные запасы. Однако делать это будет крайне затруднительно, так как цены, технологии меняются постоянно. Часто по итогам года минеральные запасы по отчету снижаются, — изменяются в результате не добычи, а перевода из одной категории в другую. Более того, добытые минеральные запасы относятся в последующем к минеральным ресурсам или наоборот. Размер добытых минеральных запасов может быть больше, чем это отражено в предыдущем отчете.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r w:rsidRPr="00CA7259">
        <w:rPr>
          <w:sz w:val="24"/>
          <w:szCs w:val="24"/>
        </w:rPr>
        <w:t xml:space="preserve">По его мнению, использовать налог на добычу полезных ископаемых при переходе на стандарты </w:t>
      </w:r>
      <w:proofErr w:type="spellStart"/>
      <w:r w:rsidRPr="00CA7259">
        <w:rPr>
          <w:sz w:val="24"/>
          <w:szCs w:val="24"/>
        </w:rPr>
        <w:t>KazRC</w:t>
      </w:r>
      <w:proofErr w:type="spellEnd"/>
      <w:r w:rsidRPr="00CA7259">
        <w:rPr>
          <w:sz w:val="24"/>
          <w:szCs w:val="24"/>
        </w:rPr>
        <w:t xml:space="preserve"> будет затруднительно, если не сказать, что невозможно.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r w:rsidRPr="00CA7259">
        <w:rPr>
          <w:sz w:val="24"/>
          <w:szCs w:val="24"/>
        </w:rPr>
        <w:t xml:space="preserve">— На наш взгляд, есть два пути, — предложил он. — Первый – изменение подхода к налогообложению полезных ископаемых, отход от налогообложения запасов полезных ископаемых, содержащихся в добытом сырье, переход к налогообложению полезных ископаемых, содержащихся в первом товарном продукте. Потому что таким образом объектом налогообложения будут те полезные ископаемые, которые будут оценены не только </w:t>
      </w:r>
      <w:proofErr w:type="spellStart"/>
      <w:r w:rsidRPr="00CA7259">
        <w:rPr>
          <w:sz w:val="24"/>
          <w:szCs w:val="24"/>
        </w:rPr>
        <w:t>недропользователем</w:t>
      </w:r>
      <w:proofErr w:type="spellEnd"/>
      <w:r w:rsidRPr="00CA7259">
        <w:rPr>
          <w:sz w:val="24"/>
          <w:szCs w:val="24"/>
        </w:rPr>
        <w:t xml:space="preserve">, но и покупателем.  Кроме того, это позволит получить более достоверную информацию о реальном количестве полезных компонентов в сырье с учетом переработки. Второй путь – оставить действующую систему. В этом случае остается один вариант – определить объектом налогообложения минеральные запасы, но не вести учет добычи, а рассчитывать объект налогообложения и соответственно уплачивать только после переоценки полезных ископаемых, которая должна проводится не реже одного раза в год, то есть фактически НДПИ платить не ежеквартально, а ежегодно, когда </w:t>
      </w:r>
      <w:proofErr w:type="spellStart"/>
      <w:r w:rsidRPr="00CA7259">
        <w:rPr>
          <w:sz w:val="24"/>
          <w:szCs w:val="24"/>
        </w:rPr>
        <w:t>недропользователь</w:t>
      </w:r>
      <w:proofErr w:type="spellEnd"/>
      <w:r w:rsidRPr="00CA7259">
        <w:rPr>
          <w:sz w:val="24"/>
          <w:szCs w:val="24"/>
        </w:rPr>
        <w:t xml:space="preserve"> будет получать отчет по переоценка запасов. Это позволит определить более достоверный объем минеральных запасов по предыдущему периоду. В </w:t>
      </w:r>
      <w:r w:rsidRPr="00CA7259">
        <w:rPr>
          <w:sz w:val="24"/>
          <w:szCs w:val="24"/>
        </w:rPr>
        <w:lastRenderedPageBreak/>
        <w:t>противном случае рассчитать объект налогообложения будет крайне затруднительно. Камеральные проверки всегда будут показывать разницу в показателях отчетов о добыче, декларациях НДПИ.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r w:rsidRPr="00CA7259">
        <w:rPr>
          <w:sz w:val="24"/>
          <w:szCs w:val="24"/>
        </w:rPr>
        <w:t xml:space="preserve">Резюмируя обсуждение, директор Департамента налоговой и таможенной политики МНЭ РК </w:t>
      </w:r>
      <w:proofErr w:type="spellStart"/>
      <w:r w:rsidRPr="00CA7259">
        <w:rPr>
          <w:sz w:val="24"/>
          <w:szCs w:val="24"/>
        </w:rPr>
        <w:t>Азамат</w:t>
      </w:r>
      <w:proofErr w:type="spellEnd"/>
      <w:r w:rsidRPr="00CA7259">
        <w:rPr>
          <w:sz w:val="24"/>
          <w:szCs w:val="24"/>
        </w:rPr>
        <w:t xml:space="preserve"> </w:t>
      </w:r>
      <w:proofErr w:type="spellStart"/>
      <w:r w:rsidRPr="00CA7259">
        <w:rPr>
          <w:sz w:val="24"/>
          <w:szCs w:val="24"/>
        </w:rPr>
        <w:t>Амрин</w:t>
      </w:r>
      <w:proofErr w:type="spellEnd"/>
      <w:r w:rsidRPr="00CA7259">
        <w:rPr>
          <w:sz w:val="24"/>
          <w:szCs w:val="24"/>
        </w:rPr>
        <w:t>, обращаясь к представителям компаний ГМК, отметил: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r w:rsidRPr="00CA7259">
        <w:rPr>
          <w:sz w:val="24"/>
          <w:szCs w:val="24"/>
        </w:rPr>
        <w:t>— С точки зрения концептуального перехода на роялти, мы будем к нему идти. Но как? Я считаю, что тут инициатива должна исходить от вас.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r w:rsidRPr="00CA7259">
        <w:rPr>
          <w:sz w:val="24"/>
          <w:szCs w:val="24"/>
        </w:rPr>
        <w:t xml:space="preserve">Он выразил надежду, что горнодобывающие предприятия будут вносить предложения, предварительно «оцифровав» их, находить консенсус, выработают единую позицию. </w:t>
      </w:r>
      <w:proofErr w:type="gramStart"/>
      <w:r w:rsidRPr="00CA7259">
        <w:rPr>
          <w:sz w:val="24"/>
          <w:szCs w:val="24"/>
        </w:rPr>
        <w:t>Со своей стороны</w:t>
      </w:r>
      <w:proofErr w:type="gramEnd"/>
      <w:r w:rsidRPr="00CA7259">
        <w:rPr>
          <w:sz w:val="24"/>
          <w:szCs w:val="24"/>
        </w:rPr>
        <w:t xml:space="preserve"> МНЭ готово рассматривать их предложения, проводить на постоянной основе встречи, обсуждать вопросы перехода на роялти.</w:t>
      </w:r>
    </w:p>
    <w:p w:rsidR="00CA7259" w:rsidRPr="00CA7259" w:rsidRDefault="00CA7259" w:rsidP="00CA7259">
      <w:pPr>
        <w:jc w:val="both"/>
        <w:rPr>
          <w:sz w:val="24"/>
          <w:szCs w:val="24"/>
        </w:rPr>
      </w:pPr>
      <w:r w:rsidRPr="00CA7259">
        <w:rPr>
          <w:sz w:val="24"/>
          <w:szCs w:val="24"/>
        </w:rPr>
        <w:t>— Понимаю, что у нас сложное администрирование, нам есть куда стремиться, — отметил он. – Поэтому мы каждый год вносим в Налоговый кодекс изменения, которые в подавляющем большинстве случаев являются нормами, улучшающими, упрощающими налогообложение. Это говорит о том, что мы рассматриваем все ваши предложения.</w:t>
      </w:r>
    </w:p>
    <w:p w:rsidR="00F4025A" w:rsidRPr="004F1711" w:rsidRDefault="00F4025A" w:rsidP="00CA7259">
      <w:pPr>
        <w:jc w:val="both"/>
        <w:rPr>
          <w:b/>
          <w:sz w:val="24"/>
          <w:szCs w:val="24"/>
        </w:rPr>
      </w:pPr>
      <w:bookmarkStart w:id="0" w:name="_GoBack"/>
      <w:bookmarkEnd w:id="0"/>
      <w:r w:rsidRPr="00F4025A">
        <w:rPr>
          <w:b/>
          <w:sz w:val="24"/>
          <w:szCs w:val="24"/>
        </w:rPr>
        <w:t>Пресс</w:t>
      </w:r>
      <w:r w:rsidRPr="004F1711">
        <w:rPr>
          <w:b/>
          <w:sz w:val="24"/>
          <w:szCs w:val="24"/>
        </w:rPr>
        <w:t>-</w:t>
      </w:r>
      <w:r w:rsidRPr="00F4025A">
        <w:rPr>
          <w:b/>
          <w:sz w:val="24"/>
          <w:szCs w:val="24"/>
        </w:rPr>
        <w:t>служба</w:t>
      </w:r>
      <w:r w:rsidRPr="004F1711">
        <w:rPr>
          <w:b/>
          <w:sz w:val="24"/>
          <w:szCs w:val="24"/>
        </w:rPr>
        <w:t xml:space="preserve"> </w:t>
      </w:r>
      <w:r w:rsidRPr="00F4025A">
        <w:rPr>
          <w:b/>
          <w:sz w:val="24"/>
          <w:szCs w:val="24"/>
        </w:rPr>
        <w:t>АГМП</w:t>
      </w:r>
    </w:p>
    <w:p w:rsidR="00F4025A" w:rsidRPr="004F1711" w:rsidRDefault="00F4025A" w:rsidP="00F4025A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Тел</w:t>
      </w:r>
      <w:r w:rsidRPr="004F1711">
        <w:rPr>
          <w:sz w:val="24"/>
          <w:szCs w:val="24"/>
        </w:rPr>
        <w:t>.: 8 (7172) 6</w:t>
      </w:r>
      <w:r w:rsidR="00E10E91">
        <w:rPr>
          <w:sz w:val="24"/>
          <w:szCs w:val="24"/>
        </w:rPr>
        <w:t>4 37 08</w:t>
      </w:r>
    </w:p>
    <w:p w:rsidR="00F4025A" w:rsidRDefault="00EE5D52" w:rsidP="00F4025A">
      <w:pPr>
        <w:jc w:val="both"/>
        <w:rPr>
          <w:sz w:val="24"/>
          <w:szCs w:val="24"/>
        </w:rPr>
      </w:pPr>
      <w:r>
        <w:rPr>
          <w:sz w:val="24"/>
          <w:szCs w:val="24"/>
        </w:rPr>
        <w:t>8 701 027 89 74</w:t>
      </w:r>
    </w:p>
    <w:p w:rsidR="00EE5D52" w:rsidRPr="00EE5D52" w:rsidRDefault="00EE5D52" w:rsidP="00F4025A">
      <w:pPr>
        <w:jc w:val="both"/>
        <w:rPr>
          <w:sz w:val="24"/>
          <w:szCs w:val="24"/>
        </w:rPr>
      </w:pPr>
    </w:p>
    <w:p w:rsidR="00F4025A" w:rsidRPr="00F4025A" w:rsidRDefault="00F4025A" w:rsidP="00F4025A">
      <w:pPr>
        <w:jc w:val="both"/>
        <w:rPr>
          <w:b/>
          <w:sz w:val="24"/>
          <w:szCs w:val="24"/>
        </w:rPr>
      </w:pPr>
      <w:r w:rsidRPr="00F4025A">
        <w:rPr>
          <w:b/>
          <w:sz w:val="24"/>
          <w:szCs w:val="24"/>
        </w:rPr>
        <w:t>Об АГМП</w:t>
      </w:r>
    </w:p>
    <w:p w:rsidR="00F4025A" w:rsidRPr="00F4025A" w:rsidRDefault="00F4025A" w:rsidP="00F4025A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t xml:space="preserve">ОЮЛ «Ассоциация горнодобывающих и горно-металлургических предприятий» создана в 2005 году по инициативе предприятий горнорудного сектора Республики Казахстан. На сегодняшний день АГМП является крупнейшим отраслевым объединением Казахстана, в состав которого входят более </w:t>
      </w:r>
      <w:r>
        <w:rPr>
          <w:sz w:val="24"/>
          <w:szCs w:val="24"/>
        </w:rPr>
        <w:t>100</w:t>
      </w:r>
      <w:r w:rsidRPr="00F4025A">
        <w:rPr>
          <w:sz w:val="24"/>
          <w:szCs w:val="24"/>
        </w:rPr>
        <w:t xml:space="preserve"> компаний черной и цветной металлургии, урановой и угольной промышленности.</w:t>
      </w:r>
    </w:p>
    <w:p w:rsidR="004A558E" w:rsidRPr="004158D5" w:rsidRDefault="00F4025A" w:rsidP="004F1711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Ассоциация аккредитована в Национальной палате предпринимателей, а также в 7 министерствах и ведомствах, входит в состав основных рабочих групп в качестве единого представителя отрасли и выступает там как полномочный представитель работодателей в процессе социального партнерства.</w:t>
      </w:r>
    </w:p>
    <w:sectPr w:rsidR="004A558E" w:rsidRPr="004158D5" w:rsidSect="00C51F7B">
      <w:headerReference w:type="default" r:id="rId6"/>
      <w:footerReference w:type="default" r:id="rId7"/>
      <w:pgSz w:w="11906" w:h="16838"/>
      <w:pgMar w:top="1134" w:right="140" w:bottom="1134" w:left="142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227" w:rsidRDefault="000F7227" w:rsidP="00DE2BF8">
      <w:pPr>
        <w:spacing w:after="0" w:line="240" w:lineRule="auto"/>
      </w:pPr>
      <w:r>
        <w:separator/>
      </w:r>
    </w:p>
  </w:endnote>
  <w:endnote w:type="continuationSeparator" w:id="0">
    <w:p w:rsidR="000F7227" w:rsidRDefault="000F7227" w:rsidP="00DE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7B" w:rsidRDefault="00C51F7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ACE1C" wp14:editId="7271D56C">
              <wp:simplePos x="0" y="0"/>
              <wp:positionH relativeFrom="column">
                <wp:posOffset>-106045</wp:posOffset>
              </wp:positionH>
              <wp:positionV relativeFrom="paragraph">
                <wp:posOffset>49199</wp:posOffset>
              </wp:positionV>
              <wp:extent cx="7593496" cy="0"/>
              <wp:effectExtent l="0" t="19050" r="26670" b="190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3496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7C2E20"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3.85pt" to="58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" strokecolor="#00b0f0" strokeweight="2.75pt">
              <v:stroke joinstyle="miter"/>
            </v:line>
          </w:pict>
        </mc:Fallback>
      </mc:AlternateContent>
    </w:r>
  </w:p>
  <w:p w:rsidR="00DE2BF8" w:rsidRPr="007D6FFB" w:rsidRDefault="00C51F7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F8C33F1" wp14:editId="00B169DD">
          <wp:simplePos x="0" y="0"/>
          <wp:positionH relativeFrom="column">
            <wp:posOffset>5952655</wp:posOffset>
          </wp:positionH>
          <wp:positionV relativeFrom="paragraph">
            <wp:posOffset>37465</wp:posOffset>
          </wp:positionV>
          <wp:extent cx="1463040" cy="1371553"/>
          <wp:effectExtent l="0" t="0" r="3810" b="635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12x5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371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BF8" w:rsidRPr="007D6FFB"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  <w:t>Пресс служба АГМП</w:t>
    </w:r>
  </w:p>
  <w:p w:rsidR="007D6FFB" w:rsidRPr="007D6FFB" w:rsidRDefault="007D6FF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</w:p>
  <w:p w:rsidR="007D6FFB" w:rsidRPr="007D6FFB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  <w:r w:rsidRPr="007D6FFB"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  <w:t xml:space="preserve">РЕСПУБЛИКАНСКАЯ АССОЦИАЦИЯ ГОРНОДОБЫВАЮЩИХ </w:t>
    </w:r>
  </w:p>
  <w:p w:rsidR="00DE2BF8" w:rsidRPr="007D6FFB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  <w:r w:rsidRPr="007D6FFB"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  <w:t>И ГОРНО-МЕТАЛЛУРГИЧЕСКИХ ПРЕДПРИЯТИЙ</w:t>
    </w:r>
  </w:p>
  <w:p w:rsidR="00DE2BF8" w:rsidRPr="00DE2BF8" w:rsidRDefault="007D6FF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F79646"/>
        <w:sz w:val="18"/>
        <w:szCs w:val="18"/>
        <w:lang w:eastAsia="ru-RU"/>
      </w:rPr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93017" wp14:editId="4736D37F">
              <wp:simplePos x="0" y="0"/>
              <wp:positionH relativeFrom="column">
                <wp:posOffset>-106045</wp:posOffset>
              </wp:positionH>
              <wp:positionV relativeFrom="paragraph">
                <wp:posOffset>98756</wp:posOffset>
              </wp:positionV>
              <wp:extent cx="3705308" cy="0"/>
              <wp:effectExtent l="0" t="19050" r="2857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05308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47521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7.8pt" to="283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" strokecolor="#00b0f0" strokeweight="2.75pt">
              <v:stroke joinstyle="miter"/>
            </v:line>
          </w:pict>
        </mc:Fallback>
      </mc:AlternateContent>
    </w:r>
  </w:p>
  <w:p w:rsidR="00DE2BF8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F79646"/>
        <w:sz w:val="18"/>
        <w:szCs w:val="18"/>
        <w:lang w:val="kk-KZ" w:eastAsia="ru-RU"/>
      </w:rPr>
    </w:pPr>
  </w:p>
  <w:tbl>
    <w:tblPr>
      <w:tblStyle w:val="a8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2852"/>
    </w:tblGrid>
    <w:tr w:rsidR="00C51F7B" w:rsidTr="00C51F7B">
      <w:trPr>
        <w:trHeight w:val="247"/>
      </w:trPr>
      <w:tc>
        <w:tcPr>
          <w:tcW w:w="2835" w:type="dxa"/>
        </w:tcPr>
        <w:p w:rsidR="00C51F7B" w:rsidRPr="004158D5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9"/>
              <w:szCs w:val="19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Т:</w:t>
          </w:r>
          <w:r w:rsidRPr="007D6FF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+7 (7172</w:t>
          </w:r>
          <w:r w:rsidRPr="007E25E3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 xml:space="preserve">) </w:t>
          </w:r>
          <w:r w:rsidRPr="004158D5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689 601</w:t>
          </w:r>
        </w:p>
        <w:p w:rsidR="00C51F7B" w:rsidRPr="004158D5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Ф:</w:t>
          </w:r>
          <w:r w:rsidRPr="00C51F7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+7 (7172)</w:t>
          </w:r>
          <w:r w:rsidRPr="00C51F7B">
            <w:rPr>
              <w:rFonts w:ascii="Arial" w:hAnsi="Arial" w:cs="Arial"/>
              <w:noProof/>
              <w:sz w:val="18"/>
              <w:szCs w:val="18"/>
              <w:lang w:eastAsia="ru-RU"/>
            </w:rPr>
            <w:t xml:space="preserve"> </w:t>
          </w:r>
          <w:r w:rsidRPr="004158D5">
            <w:rPr>
              <w:rFonts w:ascii="Arial" w:hAnsi="Arial" w:cs="Arial"/>
              <w:noProof/>
              <w:color w:val="525252" w:themeColor="accent3" w:themeShade="80"/>
              <w:sz w:val="18"/>
              <w:szCs w:val="18"/>
              <w:lang w:eastAsia="ru-RU"/>
            </w:rPr>
            <w:t>689 602</w:t>
          </w:r>
        </w:p>
        <w:p w:rsidR="00C51F7B" w:rsidRPr="007D6FFB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9"/>
              <w:szCs w:val="19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val="en-US" w:eastAsia="ru-RU"/>
            </w:rPr>
            <w:t>E</w:t>
          </w: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: </w:t>
          </w:r>
          <w:r w:rsidRPr="007D6FF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agmp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.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info</w:t>
          </w:r>
          <w:r w:rsidRPr="007D6FF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@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gmail</w:t>
          </w:r>
          <w:r w:rsidRPr="007D6FF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.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com</w:t>
          </w:r>
        </w:p>
        <w:p w:rsidR="00C51F7B" w:rsidRDefault="00C51F7B" w:rsidP="007D6FFB">
          <w:pPr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</w:pPr>
        </w:p>
      </w:tc>
      <w:tc>
        <w:tcPr>
          <w:tcW w:w="2852" w:type="dxa"/>
        </w:tcPr>
        <w:p w:rsidR="007E25E3" w:rsidRPr="007E25E3" w:rsidRDefault="007E25E3" w:rsidP="007E25E3">
          <w:pPr>
            <w:rPr>
              <w:rFonts w:ascii="Arial" w:hAnsi="Arial" w:cs="Arial"/>
              <w:color w:val="525252" w:themeColor="accent3" w:themeShade="80"/>
              <w:sz w:val="18"/>
              <w:szCs w:val="18"/>
            </w:rPr>
          </w:pPr>
          <w:r w:rsidRPr="007E25E3">
            <w:rPr>
              <w:rFonts w:ascii="Arial" w:hAnsi="Arial" w:cs="Arial"/>
              <w:color w:val="525252" w:themeColor="accent3" w:themeShade="80"/>
              <w:sz w:val="18"/>
              <w:szCs w:val="18"/>
            </w:rPr>
            <w:t>Республика Казахстан,</w:t>
          </w:r>
        </w:p>
        <w:p w:rsidR="007E25E3" w:rsidRPr="007E25E3" w:rsidRDefault="007E25E3" w:rsidP="007E25E3">
          <w:pPr>
            <w:rPr>
              <w:rFonts w:ascii="Arial" w:hAnsi="Arial" w:cs="Arial"/>
              <w:color w:val="525252" w:themeColor="accent3" w:themeShade="80"/>
              <w:sz w:val="18"/>
              <w:szCs w:val="18"/>
            </w:rPr>
          </w:pPr>
          <w:r w:rsidRPr="007E25E3">
            <w:rPr>
              <w:rFonts w:ascii="Arial" w:hAnsi="Arial" w:cs="Arial"/>
              <w:color w:val="525252" w:themeColor="accent3" w:themeShade="80"/>
              <w:sz w:val="18"/>
              <w:szCs w:val="18"/>
            </w:rPr>
            <w:t>г. Астана, ул. Д. Кунаева 12/1</w:t>
          </w:r>
        </w:p>
        <w:p w:rsidR="00C51F7B" w:rsidRPr="007E25E3" w:rsidRDefault="007E25E3" w:rsidP="007D6FFB">
          <w:pPr>
            <w:rPr>
              <w:rFonts w:ascii="Arial" w:hAnsi="Arial" w:cs="Arial"/>
              <w:sz w:val="18"/>
              <w:szCs w:val="18"/>
            </w:rPr>
          </w:pPr>
          <w:r w:rsidRPr="007E25E3">
            <w:rPr>
              <w:rFonts w:ascii="Arial" w:hAnsi="Arial" w:cs="Arial"/>
              <w:color w:val="00B0F0"/>
              <w:sz w:val="18"/>
              <w:szCs w:val="18"/>
            </w:rPr>
            <w:t>www.agmp.kz</w:t>
          </w:r>
        </w:p>
      </w:tc>
    </w:tr>
  </w:tbl>
  <w:p w:rsidR="00C51F7B" w:rsidRDefault="00C51F7B" w:rsidP="00C51F7B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227" w:rsidRDefault="000F7227" w:rsidP="00DE2BF8">
      <w:pPr>
        <w:spacing w:after="0" w:line="240" w:lineRule="auto"/>
      </w:pPr>
      <w:r>
        <w:separator/>
      </w:r>
    </w:p>
  </w:footnote>
  <w:footnote w:type="continuationSeparator" w:id="0">
    <w:p w:rsidR="000F7227" w:rsidRDefault="000F7227" w:rsidP="00DE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963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0AA7FC08" wp14:editId="697C638B">
          <wp:simplePos x="0" y="0"/>
          <wp:positionH relativeFrom="column">
            <wp:posOffset>3220589</wp:posOffset>
          </wp:positionH>
          <wp:positionV relativeFrom="paragraph">
            <wp:posOffset>-291924</wp:posOffset>
          </wp:positionV>
          <wp:extent cx="756771" cy="709448"/>
          <wp:effectExtent l="0" t="0" r="5715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12x5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75" cy="717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34963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</w:p>
  <w:p w:rsidR="00DE2BF8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B9CE9D" wp14:editId="05381EC0">
              <wp:simplePos x="0" y="0"/>
              <wp:positionH relativeFrom="column">
                <wp:posOffset>-119190</wp:posOffset>
              </wp:positionH>
              <wp:positionV relativeFrom="paragraph">
                <wp:posOffset>86995</wp:posOffset>
              </wp:positionV>
              <wp:extent cx="7593496" cy="0"/>
              <wp:effectExtent l="0" t="19050" r="26670" b="19050"/>
              <wp:wrapNone/>
              <wp:docPr id="12" name="Прямая соединительная линия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3496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AC7C3F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pt,6.85pt" to="58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" strokecolor="#00b0f0" strokeweight="2.75pt">
              <v:stroke joinstyle="miter"/>
            </v:line>
          </w:pict>
        </mc:Fallback>
      </mc:AlternateContent>
    </w:r>
    <w:r>
      <w:tab/>
    </w:r>
  </w:p>
  <w:p w:rsidR="00DE2BF8" w:rsidRDefault="00DE2B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F8"/>
    <w:rsid w:val="000346D4"/>
    <w:rsid w:val="000F7227"/>
    <w:rsid w:val="00134F7C"/>
    <w:rsid w:val="0020722B"/>
    <w:rsid w:val="00295EEA"/>
    <w:rsid w:val="003231F7"/>
    <w:rsid w:val="003C428F"/>
    <w:rsid w:val="004158D5"/>
    <w:rsid w:val="00434963"/>
    <w:rsid w:val="00477B80"/>
    <w:rsid w:val="004A558E"/>
    <w:rsid w:val="004F1711"/>
    <w:rsid w:val="00536503"/>
    <w:rsid w:val="00597DE7"/>
    <w:rsid w:val="006476EC"/>
    <w:rsid w:val="006A60AC"/>
    <w:rsid w:val="00745C16"/>
    <w:rsid w:val="007D6FFB"/>
    <w:rsid w:val="007E25E3"/>
    <w:rsid w:val="00A23547"/>
    <w:rsid w:val="00C51F7B"/>
    <w:rsid w:val="00CA7259"/>
    <w:rsid w:val="00D75CBD"/>
    <w:rsid w:val="00DC180F"/>
    <w:rsid w:val="00DC2843"/>
    <w:rsid w:val="00DE2BF8"/>
    <w:rsid w:val="00E10E91"/>
    <w:rsid w:val="00EE5D52"/>
    <w:rsid w:val="00F24089"/>
    <w:rsid w:val="00F4025A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2AD7EE-5D92-4926-98B5-77F16F99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BF8"/>
  </w:style>
  <w:style w:type="paragraph" w:styleId="a5">
    <w:name w:val="footer"/>
    <w:basedOn w:val="a"/>
    <w:link w:val="a6"/>
    <w:uiPriority w:val="99"/>
    <w:unhideWhenUsed/>
    <w:rsid w:val="00DE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BF8"/>
  </w:style>
  <w:style w:type="character" w:customStyle="1" w:styleId="apple-converted-space">
    <w:name w:val="apple-converted-space"/>
    <w:basedOn w:val="a0"/>
    <w:rsid w:val="007D6FFB"/>
  </w:style>
  <w:style w:type="character" w:styleId="a7">
    <w:name w:val="Hyperlink"/>
    <w:basedOn w:val="a0"/>
    <w:uiPriority w:val="99"/>
    <w:unhideWhenUsed/>
    <w:rsid w:val="007D6FFB"/>
    <w:rPr>
      <w:color w:val="0000FF"/>
      <w:u w:val="single"/>
    </w:rPr>
  </w:style>
  <w:style w:type="character" w:customStyle="1" w:styleId="il">
    <w:name w:val="il"/>
    <w:basedOn w:val="a0"/>
    <w:rsid w:val="007D6FFB"/>
  </w:style>
  <w:style w:type="table" w:styleId="a8">
    <w:name w:val="Table Grid"/>
    <w:basedOn w:val="a1"/>
    <w:uiPriority w:val="39"/>
    <w:rsid w:val="00C5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PYCTAM</dc:creator>
  <cp:keywords/>
  <dc:description/>
  <cp:lastModifiedBy>AGMP-005</cp:lastModifiedBy>
  <cp:revision>2</cp:revision>
  <dcterms:created xsi:type="dcterms:W3CDTF">2019-10-09T12:50:00Z</dcterms:created>
  <dcterms:modified xsi:type="dcterms:W3CDTF">2019-10-09T12:50:00Z</dcterms:modified>
</cp:coreProperties>
</file>