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780904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сентября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780904" w:rsidRDefault="00780904" w:rsidP="00780904">
      <w:pPr>
        <w:jc w:val="center"/>
        <w:rPr>
          <w:b/>
          <w:sz w:val="24"/>
          <w:szCs w:val="24"/>
        </w:rPr>
      </w:pPr>
      <w:r w:rsidRPr="00780904">
        <w:rPr>
          <w:b/>
          <w:sz w:val="24"/>
          <w:szCs w:val="24"/>
        </w:rPr>
        <w:t>От Экологического кодекса ожидаем стабильности и предсказуемости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 xml:space="preserve">До конца текущего года планируется внесение в Парламент РК проекта нового Экологического Кодекса РК, нацеленного на достижение трех важных аспектов: «чистая вода», «чистый воздух» и «чистая земля». Предполагается, что кодекс будет стимулировать </w:t>
      </w:r>
      <w:proofErr w:type="spellStart"/>
      <w:r w:rsidRPr="00780904">
        <w:rPr>
          <w:sz w:val="24"/>
          <w:szCs w:val="24"/>
        </w:rPr>
        <w:t>недропользователей</w:t>
      </w:r>
      <w:proofErr w:type="spellEnd"/>
      <w:r w:rsidRPr="00780904">
        <w:rPr>
          <w:sz w:val="24"/>
          <w:szCs w:val="24"/>
        </w:rPr>
        <w:t xml:space="preserve"> и промышленные предприятия к внедрению «зеленых» технологий для обеспечения экологической безопасности страны. С принятием документа будет выработана единая экологическая политика. На круглом столе «Экологические решения для устойчивой энергетики. Законодательный прорыв», прошедшем в рамках XII Евразийского форума KAZENERGY, представители государственных органов, ассоциаций, НПП РК «</w:t>
      </w:r>
      <w:proofErr w:type="spellStart"/>
      <w:r w:rsidRPr="00780904">
        <w:rPr>
          <w:sz w:val="24"/>
          <w:szCs w:val="24"/>
        </w:rPr>
        <w:t>Атамекен</w:t>
      </w:r>
      <w:proofErr w:type="spellEnd"/>
      <w:r w:rsidRPr="00780904">
        <w:rPr>
          <w:sz w:val="24"/>
          <w:szCs w:val="24"/>
        </w:rPr>
        <w:t>», предприятий нефтегазового и горно-металлургического секторов высказали свои оценки и рекомендации по решению вопросов экологического регулирования в стране.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 xml:space="preserve">— Несомненно, на сегодня индустриальный блок нашего общества понимает, что модернизация экологического законодательства на данном этапе необходима,  и разработка нового Экологического кодекса является своевременным решением, — подчеркнул в своем выступлении заместитель исполнительного директора АГМП </w:t>
      </w:r>
      <w:proofErr w:type="spellStart"/>
      <w:r w:rsidRPr="00780904">
        <w:rPr>
          <w:sz w:val="24"/>
          <w:szCs w:val="24"/>
        </w:rPr>
        <w:t>Жомарт</w:t>
      </w:r>
      <w:proofErr w:type="spellEnd"/>
      <w:r w:rsidRPr="00780904">
        <w:rPr>
          <w:sz w:val="24"/>
          <w:szCs w:val="24"/>
        </w:rPr>
        <w:t xml:space="preserve"> Алиев, обратив внимание на то, что, с одной стороны, ряд предприятий получил в наследство от Советского Союза устаревшие технологии и оборудование, а с другой стороны, есть предприятия ГМК, соответствующие требованиям ОЭСР. И этот дисбаланс вызывает много вопросов у участников обсуждения проекта Экологического кодекса, редакция которого на сегодня разработана и представлена на обсуждение.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По словам Ж. Алиева, для любой новации необходима определенная степень мотивации. В Концепции проекта Экологического кодекса было заложено, что на внедрение наилучших доступных технологий (НДТ) предприятия будут мотивироваться тем, что экологические платежи не будут поступать в государственный бюджет, — они будут оставаться у компаний. Тем более, что НДТ – это веление времени, общий тренд во всем мире, который уже прошел апробацию, доказал свою состоятельность в дальнем зарубежье, начинает показывать определенные результаты в ближнем зарубежье.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 xml:space="preserve">Но предприятия прекрасно понимают, что тот объем инвестиций, который уходил в виде налогов в государственный бюджет, не покроет все издержки на внедрение НДТ. Поскольку осуществление НДТ потребуют больших объемов работ с точки зрения технологичности, </w:t>
      </w:r>
      <w:proofErr w:type="spellStart"/>
      <w:r w:rsidRPr="00780904">
        <w:rPr>
          <w:sz w:val="24"/>
          <w:szCs w:val="24"/>
        </w:rPr>
        <w:t>капиталозатратности</w:t>
      </w:r>
      <w:proofErr w:type="spellEnd"/>
      <w:r w:rsidRPr="00780904">
        <w:rPr>
          <w:sz w:val="24"/>
          <w:szCs w:val="24"/>
        </w:rPr>
        <w:t>. Если для одних предприятий достаточно замены технологического узла, то на других необходимо будет пересматривать весь технологический режим.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Однако решать вопросы улучшения экологической ситуации регионов, в целом республики по всем видам эмиссий, взвалив это только на плечи блока индустрии, – будет неоправданно, и не принесет ожидаемого экологического эффекта.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— Со стороны государства также должны быть определенные финансовые преференции и экономические стимулы для того, чтобы постараться в максимально короткие сроки, а самое главное – эффективно — повлиять на экологическую составляющую, — убежден спикер. — Потому что это затрагивает целый комплекс вопросов, и все прекрасно понимают, что дисбаланс в окружающей среде влечет за собой очень много других составляющих – здоровье населения, состояние флоры и фауны. И тут нужен комплексный подход.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То, что на сегодня вполне приемлемо, решаемо для ГМК, — может очень больно ударить по другой отрасли экономики. И хотя ясно, что невозможно в Экологическом кодексе для каждого вида отрасли расписать свой путь прохождения того иного процесса, связанного с экологическим государственным регулированием, экологической государственной инспекцией, но, тем не менее, эти моменты необходимо учесть, считает он.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На сегодня эта ситуация становится краеугольной, потому что у любого крупного бизнеса, у крупного игрока, будь то нефтегазовый сектор или горно-металлургический сектор, очень много смежных производств, которые непосредственно очень тонко и сильно завязаны между собой.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 xml:space="preserve">— Эти вопросы требуют детального обсуждения. Словом, есть моменты преткновения, есть решаемые вопросы, есть понимание, — заметил </w:t>
      </w:r>
      <w:proofErr w:type="spellStart"/>
      <w:r w:rsidRPr="00780904">
        <w:rPr>
          <w:sz w:val="24"/>
          <w:szCs w:val="24"/>
        </w:rPr>
        <w:t>Ж.Алиев</w:t>
      </w:r>
      <w:proofErr w:type="spellEnd"/>
      <w:r w:rsidRPr="00780904">
        <w:rPr>
          <w:sz w:val="24"/>
          <w:szCs w:val="24"/>
        </w:rPr>
        <w:t>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Но, по его мнению, просто оказывая давление на экономический сектор общества увеличенными штрафными санкциями, другими мерами административного, ресурсного воздействия, – в конечном итоге невозможно решить по большому счету ту экологическую проблему, которая на сегодня созрела.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Большой блок вопросов для ГМК связан с техногенными минеральными образованиями (ТМО). Те исторические «кладбища» всех производств горного и металлургического передела, которые предприятия получили в наследство, — ждут своего решения. И одним росчерком пера относить их к отходам и применять к ним жесточайшие санкции – не выход.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 xml:space="preserve">— Условно говоря, если взять крупный горно-металлургический комплекс, у которого на балансе имеются большие объемы вскрышных пород, большие объемы техногенных минеральных образований в виде хвостов, шламов, шлаков и в один день перевести их </w:t>
      </w:r>
      <w:proofErr w:type="gramStart"/>
      <w:r w:rsidRPr="00780904">
        <w:rPr>
          <w:sz w:val="24"/>
          <w:szCs w:val="24"/>
        </w:rPr>
        <w:t>в  отходы</w:t>
      </w:r>
      <w:proofErr w:type="gramEnd"/>
      <w:r w:rsidRPr="00780904">
        <w:rPr>
          <w:sz w:val="24"/>
          <w:szCs w:val="24"/>
        </w:rPr>
        <w:t xml:space="preserve"> и применить к ним жесткие требования по хранению, размещению и перспективному применению – этого сделать просто физически невозможно, нужны комплексные, планомерные и сбалансированные меры по решению этих задач.  Даже если цель благая – снизить влияние на окружающую среду, — подчеркнул Ж. Алиев.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t>В таких детальных вопросах каждого сектора экономики АГМП, предприятиям необходимо еще плотно и конструктивно поработать с госорганами.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  <w:bookmarkStart w:id="0" w:name="_GoBack"/>
      <w:bookmarkEnd w:id="0"/>
      <w:r w:rsidRPr="00780904">
        <w:rPr>
          <w:sz w:val="24"/>
          <w:szCs w:val="24"/>
        </w:rPr>
        <w:t>Резюмируя выступление, заместитель исполнительного директора АГМП призвал находить общий консенсус и принимать общее решение с целью достижения главного баланса, — экономики и экологии.</w:t>
      </w:r>
    </w:p>
    <w:p w:rsidR="00780904" w:rsidRPr="00780904" w:rsidRDefault="00780904" w:rsidP="00780904">
      <w:pPr>
        <w:jc w:val="both"/>
        <w:rPr>
          <w:sz w:val="24"/>
          <w:szCs w:val="24"/>
        </w:rPr>
      </w:pPr>
    </w:p>
    <w:p w:rsidR="00780904" w:rsidRPr="00780904" w:rsidRDefault="00780904" w:rsidP="00780904">
      <w:pPr>
        <w:jc w:val="both"/>
        <w:rPr>
          <w:sz w:val="24"/>
          <w:szCs w:val="24"/>
        </w:rPr>
      </w:pPr>
      <w:r w:rsidRPr="00780904">
        <w:rPr>
          <w:sz w:val="24"/>
          <w:szCs w:val="24"/>
        </w:rPr>
        <w:lastRenderedPageBreak/>
        <w:t>— Мы, как граждане этой страны, понимаем, что нельзя только в угоду экономическому развитию предприятия ставить под угрозу экологическую составляющую, однако подчеркну, что данный подход в полной мере действует и в реверсивном направлении, — заключил он.</w:t>
      </w:r>
    </w:p>
    <w:p w:rsidR="00F4025A" w:rsidRPr="004F1711" w:rsidRDefault="00F4025A" w:rsidP="00780904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DE" w:rsidRDefault="006258DE" w:rsidP="00DE2BF8">
      <w:pPr>
        <w:spacing w:after="0" w:line="240" w:lineRule="auto"/>
      </w:pPr>
      <w:r>
        <w:separator/>
      </w:r>
    </w:p>
  </w:endnote>
  <w:endnote w:type="continuationSeparator" w:id="0">
    <w:p w:rsidR="006258DE" w:rsidRDefault="006258DE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DE" w:rsidRDefault="006258DE" w:rsidP="00DE2BF8">
      <w:pPr>
        <w:spacing w:after="0" w:line="240" w:lineRule="auto"/>
      </w:pPr>
      <w:r>
        <w:separator/>
      </w:r>
    </w:p>
  </w:footnote>
  <w:footnote w:type="continuationSeparator" w:id="0">
    <w:p w:rsidR="006258DE" w:rsidRDefault="006258DE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C428F"/>
    <w:rsid w:val="004158D5"/>
    <w:rsid w:val="00434963"/>
    <w:rsid w:val="00477B80"/>
    <w:rsid w:val="004A558E"/>
    <w:rsid w:val="004F1711"/>
    <w:rsid w:val="00536503"/>
    <w:rsid w:val="00597DE7"/>
    <w:rsid w:val="006258DE"/>
    <w:rsid w:val="006A60AC"/>
    <w:rsid w:val="00745C16"/>
    <w:rsid w:val="00780904"/>
    <w:rsid w:val="007D6FFB"/>
    <w:rsid w:val="007E25E3"/>
    <w:rsid w:val="00A23547"/>
    <w:rsid w:val="00C51F7B"/>
    <w:rsid w:val="00D75CBD"/>
    <w:rsid w:val="00DC180F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2019-10-09T12:31:00Z</dcterms:created>
  <dcterms:modified xsi:type="dcterms:W3CDTF">2019-10-09T12:31:00Z</dcterms:modified>
</cp:coreProperties>
</file>