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097209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31 октября</w:t>
      </w:r>
      <w:r w:rsidR="00536503">
        <w:rPr>
          <w:b/>
          <w:sz w:val="24"/>
          <w:szCs w:val="24"/>
        </w:rPr>
        <w:t xml:space="preserve"> </w:t>
      </w:r>
      <w:r w:rsidR="004158D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 xml:space="preserve">. </w:t>
      </w:r>
      <w:proofErr w:type="spellStart"/>
      <w:r w:rsidR="00E10E91">
        <w:rPr>
          <w:b/>
          <w:sz w:val="24"/>
          <w:szCs w:val="24"/>
        </w:rPr>
        <w:t>Нур</w:t>
      </w:r>
      <w:proofErr w:type="spellEnd"/>
      <w:r w:rsidR="00E10E91">
        <w:rPr>
          <w:b/>
          <w:sz w:val="24"/>
          <w:szCs w:val="24"/>
        </w:rPr>
        <w:t>-Султан</w:t>
      </w:r>
    </w:p>
    <w:p w:rsidR="00386DEF" w:rsidRDefault="00386DEF" w:rsidP="00386DEF">
      <w:pPr>
        <w:jc w:val="both"/>
        <w:rPr>
          <w:b/>
          <w:sz w:val="24"/>
          <w:szCs w:val="24"/>
        </w:rPr>
      </w:pPr>
    </w:p>
    <w:p w:rsidR="00097209" w:rsidRPr="00097209" w:rsidRDefault="00097209" w:rsidP="00097209">
      <w:pPr>
        <w:jc w:val="center"/>
        <w:rPr>
          <w:b/>
          <w:sz w:val="24"/>
          <w:szCs w:val="24"/>
        </w:rPr>
      </w:pPr>
      <w:r w:rsidRPr="00097209">
        <w:rPr>
          <w:b/>
          <w:sz w:val="24"/>
          <w:szCs w:val="24"/>
        </w:rPr>
        <w:t>Форум объединит угольщиков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На площадке Национальной палаты предпринимателей РК «</w:t>
      </w:r>
      <w:proofErr w:type="spellStart"/>
      <w:r w:rsidRPr="00097209">
        <w:rPr>
          <w:sz w:val="24"/>
          <w:szCs w:val="24"/>
        </w:rPr>
        <w:t>Атамекен</w:t>
      </w:r>
      <w:proofErr w:type="spellEnd"/>
      <w:r w:rsidRPr="00097209">
        <w:rPr>
          <w:sz w:val="24"/>
          <w:szCs w:val="24"/>
        </w:rPr>
        <w:t>» состоялось XXII заседание Комитета геологической отрасли, горнорудной, угледобывающей и металлургической промышленности Президиума НПП РК «</w:t>
      </w:r>
      <w:proofErr w:type="spellStart"/>
      <w:r w:rsidRPr="00097209">
        <w:rPr>
          <w:sz w:val="24"/>
          <w:szCs w:val="24"/>
        </w:rPr>
        <w:t>Атамекен</w:t>
      </w:r>
      <w:proofErr w:type="spellEnd"/>
      <w:r w:rsidRPr="00097209">
        <w:rPr>
          <w:sz w:val="24"/>
          <w:szCs w:val="24"/>
        </w:rPr>
        <w:t xml:space="preserve">» (КГГУМП) под председательством заместителя председателя правления НПП РК </w:t>
      </w:r>
      <w:proofErr w:type="spellStart"/>
      <w:r w:rsidRPr="00097209">
        <w:rPr>
          <w:sz w:val="24"/>
          <w:szCs w:val="24"/>
        </w:rPr>
        <w:t>Ельдоса</w:t>
      </w:r>
      <w:proofErr w:type="spellEnd"/>
      <w:r w:rsidRPr="00097209">
        <w:rPr>
          <w:sz w:val="24"/>
          <w:szCs w:val="24"/>
        </w:rPr>
        <w:t xml:space="preserve"> Рамазанова и председателя КГГУМП Николая </w:t>
      </w:r>
      <w:proofErr w:type="spellStart"/>
      <w:r w:rsidRPr="00097209">
        <w:rPr>
          <w:sz w:val="24"/>
          <w:szCs w:val="24"/>
        </w:rPr>
        <w:t>Радостовца</w:t>
      </w:r>
      <w:proofErr w:type="spellEnd"/>
      <w:r w:rsidRPr="00097209">
        <w:rPr>
          <w:sz w:val="24"/>
          <w:szCs w:val="24"/>
        </w:rPr>
        <w:t>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На заседании обсуждались вопросы организации Форума угольной промышленности, налогообложения общераспространенных полезных ископаемых в составе ТМО, внедрения автоматизированных систем мониторинга эмиссий, подведения итогов первого Евразийского чемпионата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Hi-Tech</w:t>
      </w:r>
      <w:proofErr w:type="spellEnd"/>
      <w:r w:rsidRPr="00097209">
        <w:rPr>
          <w:sz w:val="24"/>
          <w:szCs w:val="24"/>
        </w:rPr>
        <w:t xml:space="preserve"> 2018, разработки проектов профессиональных стандартов в сфере «Геология» и «Горно-металлургическая промышленность», внесения поправок в Правила по определению страны происхождения товара, выдаче сертификата страны происхождения и отмене его действия.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В своем выступлении о ходе подготовки к проведению Форума угольной промышленности исполнительный директор АГМП Николай </w:t>
      </w:r>
      <w:proofErr w:type="spellStart"/>
      <w:r w:rsidRPr="00097209">
        <w:rPr>
          <w:sz w:val="24"/>
          <w:szCs w:val="24"/>
        </w:rPr>
        <w:t>Радостовец</w:t>
      </w:r>
      <w:proofErr w:type="spellEnd"/>
      <w:r w:rsidRPr="00097209">
        <w:rPr>
          <w:sz w:val="24"/>
          <w:szCs w:val="24"/>
        </w:rPr>
        <w:t xml:space="preserve"> подчеркнул, что в стране в отношении угля существует недопонимание.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— При том, что угля в стране предостаточно, и он дешевый, отрасль не дотационная, рентабельная, все время предпринимаются попытки зарегулировать ее, — сказал он, приведя в подтверждение сказанному недавнее обсуждение разработки специализированного закона об угле в Казахстане, принудительной продажи угля через СПК и другие меры государственного регулирования.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Основанием для обсуждения таких мер стал возникший осенью прошлого года дефицит твердого топлива в регионах. Но во многом он был связан с тем, что люди покупают уголь в последний момент, с наступлением холодов, либо с его несвоевременной доставкой потребителям.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С другой стороны, есть необходимость консолидировать свои позиции у работодателей, которые не имеют представления о стратегии развития энергетики, о том, нужен ли будет стране уголь в будущем и в каких объемах, будет ли он совмещаться с газом в связи со строительством газопровода через всю страну.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В числе важных вопросов, касающихся угольщиков, — транспортировка твердого топлива, уровень заработной платы, социальная защита шахтеров, будущее моногородов, новые технологии по переработке угля.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Для того, чтобы обсудить эти актуальные вопросы Республиканская ассоциация горнодобывающих и горно-металлургических предприятий совместно с Отраслевым профсоюзом работников угольной промышленности инициируют проведение Форума угольной промышленности.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lastRenderedPageBreak/>
        <w:t xml:space="preserve">Как отметил председатель профсоюза работников угольной промышленности Михаил Никифоров, угольной отрасли уделяется мало внимания, хотя проблем накопилось достаточно. К примеру, за последнее время появилось много угледобывающих компаний, но далеко не все их них функционируют в постоянном режиме. Угольщиков волнуют отток кадров, обеспечение безопасности, остаются насущные вопросы развития </w:t>
      </w:r>
      <w:proofErr w:type="spellStart"/>
      <w:r w:rsidRPr="00097209">
        <w:rPr>
          <w:sz w:val="24"/>
          <w:szCs w:val="24"/>
        </w:rPr>
        <w:t>углехимии</w:t>
      </w:r>
      <w:proofErr w:type="spellEnd"/>
      <w:r w:rsidRPr="00097209">
        <w:rPr>
          <w:sz w:val="24"/>
          <w:szCs w:val="24"/>
        </w:rPr>
        <w:t>, использования газа, который выделяется при добыче из подземных выработок.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Все это обуславливает необходимость проведения Угольного форума. В ходе обсуждения подготовки к форуму члены Комитета приняли решение провести его на высоком организационном уровне, с участием Правительства, профсоюзов, угледобывающих предприятий.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С информацией о налогообложении общераспространенных полезных ископаемых (ОПИ) в составе техногенных минеральных образований (ТМО) выступил заместитель исполнительного директора АГМП Максим Кононов.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— В рамках добычных работ в составе ТМО присутствуют общераспространенные полезные ископаемые, — прокомментировал он. — При этом часть ОПИ используется самими </w:t>
      </w:r>
      <w:proofErr w:type="spellStart"/>
      <w:r w:rsidRPr="00097209">
        <w:rPr>
          <w:sz w:val="24"/>
          <w:szCs w:val="24"/>
        </w:rPr>
        <w:t>недропользователями</w:t>
      </w:r>
      <w:proofErr w:type="spellEnd"/>
      <w:r w:rsidRPr="00097209">
        <w:rPr>
          <w:sz w:val="24"/>
          <w:szCs w:val="24"/>
        </w:rPr>
        <w:t xml:space="preserve"> для дорожного строительства, отсыпки дамб и других технических нужд, другая часть реализуется. Ключевой вопрос заключатся в том, надо ли ставить на баланс общераспространенные полезные ископаемые, которые находятся в составе ТМО.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Позиция МИР РК заключается в том, что необходимо ставить их на баланс. АГМП с этим не согласна, поскольку, во-первых, отсутствует процедура; во-вторых, даже при наличии процедур, процесс может занять долгое время, а необходимость использования ОПИ из состава ТМО может возникать в любой момент времени; в-третьих, возникают сложности с прогнозированием необходимых объемов для использования. Отсюда вытекает вопрос по оплате НДПИ с ОПИ, находящихся в составе ТМО.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На заседании свои мнения по этому вопросу высказали представители МИР РК, Комитета геологии и недропользования, Комитета государственных доходов, горнорудных компаний.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Было отмечено, что решение проблемы по упрощению процедур невозможно без внесения изменений в действующее законодательство – Кодекс о недрах и недропользовании. Поэтому необходимо будет тщательно проработать данный вопрос, с вовлечением специалистов по недропользованию.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Внедрению автоматизированных систем мониторинга эмиссий (АСМ) было посвящено выступление директора департамента экологии и промышленной безопасности АГМП </w:t>
      </w:r>
      <w:proofErr w:type="spellStart"/>
      <w:r w:rsidRPr="00097209">
        <w:rPr>
          <w:sz w:val="24"/>
          <w:szCs w:val="24"/>
        </w:rPr>
        <w:t>Талгата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Темирханова</w:t>
      </w:r>
      <w:proofErr w:type="spellEnd"/>
      <w:r w:rsidRPr="00097209">
        <w:rPr>
          <w:sz w:val="24"/>
          <w:szCs w:val="24"/>
        </w:rPr>
        <w:t>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Он сообщил, что в конце 2017 года при выдаче разрешений на эмиссии компаниям ГМК в рамках природоохранных мероприятий были предусмотрены мероприятия по разработке проектов внедрения систем автоматизированного онлайн — мониторинга за выбросами загрязняющих веществ на источниках. Данные проекты должны быть разработаны до конца 2018 года, при том, что в утвержденных Правилах отсутствуют требования, регламентирующие порядок установки датчиков, необходимых для мониторинга, перечень обязательных к мониторингу загрязняющих веществ, порядок передачи данных.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lastRenderedPageBreak/>
        <w:t>Вместе с тем, для написания технического задания на разработку проектов по АСМ предприятиям необходимо предоставить первичные данные, которых у них на сегодня нет. Компании ГМК беспокоит и возникновение дополнительных финансовых затрат на приобретение датчиков.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В рамках утвержденных Правил уполномоченный орган в области охраны окружающей среды должен будет разработать соответствующий стандарт, регламентирующий порядок внедрения систем онлайн-мониторинга в республике, при этом разработка стандартов займет до 6 месяцев.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— АГМП считает, что этого времени недостаточно для разработки столь значимого НПА, — высказал позицию ассоциации </w:t>
      </w:r>
      <w:proofErr w:type="spellStart"/>
      <w:r w:rsidRPr="00097209">
        <w:rPr>
          <w:sz w:val="24"/>
          <w:szCs w:val="24"/>
        </w:rPr>
        <w:t>Т.Темирханов</w:t>
      </w:r>
      <w:proofErr w:type="spellEnd"/>
      <w:r w:rsidRPr="00097209">
        <w:rPr>
          <w:sz w:val="24"/>
          <w:szCs w:val="24"/>
        </w:rPr>
        <w:t>. — При этом в России на разработку аналогичного НПА предусмотрено 4 года с разбивкой на этапы. Вместе с тем, в Республике Беларусь данная работа проводится с 2008 года. Более того, затраты компаний на внедрение АСК там компенсируются за счет обязательных экологических налогов в рамках Налогового кодекса.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— Учитывая то, что внедрение АСМ на сегодня является добровольным, АГМП предлагает отсрочить требования по установке датчиков онлайн — мониторинга до 2020 года, изучить опыт других стран. Также, учитывая возникающие риски касательно невыполнения природоохранных мероприятий в части разработки проектов, и соответственно возможности отзыва разрешений со стороны КЭРК, АГМП считает необходимым приостановить выполнение пункта по разработке проектов на установку автоматизированных систем онлайн — мониторинга до момента принятия соответствующих правил, — озвучил предложение ассоциации </w:t>
      </w:r>
      <w:proofErr w:type="spellStart"/>
      <w:r w:rsidRPr="00097209">
        <w:rPr>
          <w:sz w:val="24"/>
          <w:szCs w:val="24"/>
        </w:rPr>
        <w:t>Талгат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Темирханов</w:t>
      </w:r>
      <w:proofErr w:type="spellEnd"/>
      <w:r w:rsidRPr="00097209">
        <w:rPr>
          <w:sz w:val="24"/>
          <w:szCs w:val="24"/>
        </w:rPr>
        <w:t>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По данному вопросу планируется инициировать проведение совещания в Правительстве с участием заинтересованных госорганов и компаний ГМК для выработки решения об условиях и сроках внедрения АСМ.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Подводя итоги первого Евразийского чемпионата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Hi-Tech</w:t>
      </w:r>
      <w:proofErr w:type="spellEnd"/>
      <w:r w:rsidRPr="00097209">
        <w:rPr>
          <w:sz w:val="24"/>
          <w:szCs w:val="24"/>
        </w:rPr>
        <w:t xml:space="preserve"> 2018, заместитель исполнительного директора АГМП </w:t>
      </w:r>
      <w:proofErr w:type="spellStart"/>
      <w:r w:rsidRPr="00097209">
        <w:rPr>
          <w:sz w:val="24"/>
          <w:szCs w:val="24"/>
        </w:rPr>
        <w:t>Бахыт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Манасбаева</w:t>
      </w:r>
      <w:proofErr w:type="spellEnd"/>
      <w:r w:rsidRPr="00097209">
        <w:rPr>
          <w:sz w:val="24"/>
          <w:szCs w:val="24"/>
        </w:rPr>
        <w:t xml:space="preserve"> отметила, что Казахстан был представлен самой большой сборной на чемпионате, собравшем молодых профессионалов из 11 стран.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За право войти в число лучших профессионалов своего дела боролись молодые рабочие, мастера и наставники из Казахстана, которые соревновались по 17 компетенциям. Это работники предприятий Евразийской Группы (АО «ТНК «</w:t>
      </w:r>
      <w:proofErr w:type="spellStart"/>
      <w:r w:rsidRPr="00097209">
        <w:rPr>
          <w:sz w:val="24"/>
          <w:szCs w:val="24"/>
        </w:rPr>
        <w:t>Казхром</w:t>
      </w:r>
      <w:proofErr w:type="spellEnd"/>
      <w:r w:rsidRPr="00097209">
        <w:rPr>
          <w:sz w:val="24"/>
          <w:szCs w:val="24"/>
        </w:rPr>
        <w:t xml:space="preserve">», АО «Алюминий Казахстана», АО «ERG </w:t>
      </w:r>
      <w:proofErr w:type="spellStart"/>
      <w:r w:rsidRPr="00097209">
        <w:rPr>
          <w:sz w:val="24"/>
          <w:szCs w:val="24"/>
        </w:rPr>
        <w:t>Service</w:t>
      </w:r>
      <w:proofErr w:type="spellEnd"/>
      <w:r w:rsidRPr="00097209">
        <w:rPr>
          <w:sz w:val="24"/>
          <w:szCs w:val="24"/>
        </w:rPr>
        <w:t xml:space="preserve">», АО «ЕЭК», АО «Казахстанский электролизный завод»), ТОО «Корпорация </w:t>
      </w:r>
      <w:proofErr w:type="spellStart"/>
      <w:r w:rsidRPr="00097209">
        <w:rPr>
          <w:sz w:val="24"/>
          <w:szCs w:val="24"/>
        </w:rPr>
        <w:t>Казахмыс</w:t>
      </w:r>
      <w:proofErr w:type="spellEnd"/>
      <w:r w:rsidRPr="00097209">
        <w:rPr>
          <w:sz w:val="24"/>
          <w:szCs w:val="24"/>
        </w:rPr>
        <w:t>» (ТОО «</w:t>
      </w:r>
      <w:proofErr w:type="spellStart"/>
      <w:r w:rsidRPr="00097209">
        <w:rPr>
          <w:sz w:val="24"/>
          <w:szCs w:val="24"/>
        </w:rPr>
        <w:t>Kazakhmys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Energy</w:t>
      </w:r>
      <w:proofErr w:type="spellEnd"/>
      <w:r w:rsidRPr="00097209">
        <w:rPr>
          <w:sz w:val="24"/>
          <w:szCs w:val="24"/>
        </w:rPr>
        <w:t xml:space="preserve">», </w:t>
      </w:r>
      <w:proofErr w:type="spellStart"/>
      <w:r w:rsidRPr="00097209">
        <w:rPr>
          <w:sz w:val="24"/>
          <w:szCs w:val="24"/>
        </w:rPr>
        <w:t>Шахтопроходческий</w:t>
      </w:r>
      <w:proofErr w:type="spellEnd"/>
      <w:r w:rsidRPr="00097209">
        <w:rPr>
          <w:sz w:val="24"/>
          <w:szCs w:val="24"/>
        </w:rPr>
        <w:t xml:space="preserve"> трест им. </w:t>
      </w:r>
      <w:proofErr w:type="spellStart"/>
      <w:r w:rsidRPr="00097209">
        <w:rPr>
          <w:sz w:val="24"/>
          <w:szCs w:val="24"/>
        </w:rPr>
        <w:t>Г.О.Омарова</w:t>
      </w:r>
      <w:proofErr w:type="spellEnd"/>
      <w:r w:rsidRPr="00097209">
        <w:rPr>
          <w:sz w:val="24"/>
          <w:szCs w:val="24"/>
        </w:rPr>
        <w:t xml:space="preserve"> филиала ТОО «Корпорация </w:t>
      </w:r>
      <w:proofErr w:type="spellStart"/>
      <w:r w:rsidRPr="00097209">
        <w:rPr>
          <w:sz w:val="24"/>
          <w:szCs w:val="24"/>
        </w:rPr>
        <w:t>Казахмыс</w:t>
      </w:r>
      <w:proofErr w:type="spellEnd"/>
      <w:r w:rsidRPr="00097209">
        <w:rPr>
          <w:sz w:val="24"/>
          <w:szCs w:val="24"/>
        </w:rPr>
        <w:t>»), ТОО «</w:t>
      </w:r>
      <w:proofErr w:type="spellStart"/>
      <w:r w:rsidRPr="00097209">
        <w:rPr>
          <w:sz w:val="24"/>
          <w:szCs w:val="24"/>
        </w:rPr>
        <w:t>Полиметал</w:t>
      </w:r>
      <w:proofErr w:type="spellEnd"/>
      <w:r w:rsidRPr="00097209">
        <w:rPr>
          <w:sz w:val="24"/>
          <w:szCs w:val="24"/>
        </w:rPr>
        <w:t xml:space="preserve"> Евразия» (ТОО «</w:t>
      </w:r>
      <w:proofErr w:type="spellStart"/>
      <w:r w:rsidRPr="00097209">
        <w:rPr>
          <w:sz w:val="24"/>
          <w:szCs w:val="24"/>
        </w:rPr>
        <w:t>Комаровское</w:t>
      </w:r>
      <w:proofErr w:type="spellEnd"/>
      <w:r w:rsidRPr="00097209">
        <w:rPr>
          <w:sz w:val="24"/>
          <w:szCs w:val="24"/>
        </w:rPr>
        <w:t xml:space="preserve"> горное предприятие», ТОО «</w:t>
      </w:r>
      <w:proofErr w:type="spellStart"/>
      <w:r w:rsidRPr="00097209">
        <w:rPr>
          <w:sz w:val="24"/>
          <w:szCs w:val="24"/>
        </w:rPr>
        <w:t>Варваринское</w:t>
      </w:r>
      <w:proofErr w:type="spellEnd"/>
      <w:r w:rsidRPr="00097209">
        <w:rPr>
          <w:sz w:val="24"/>
          <w:szCs w:val="24"/>
        </w:rPr>
        <w:t>»).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— Чемпионат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выполняет важную задачу по формированию новых требований к профессиональным компетенциям рабочих кадров, — подчеркнула Б. </w:t>
      </w:r>
      <w:proofErr w:type="spellStart"/>
      <w:r w:rsidRPr="00097209">
        <w:rPr>
          <w:sz w:val="24"/>
          <w:szCs w:val="24"/>
        </w:rPr>
        <w:t>Манасбаева</w:t>
      </w:r>
      <w:proofErr w:type="spellEnd"/>
      <w:r w:rsidRPr="00097209">
        <w:rPr>
          <w:sz w:val="24"/>
          <w:szCs w:val="24"/>
        </w:rPr>
        <w:t xml:space="preserve">. —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Hi-Tech</w:t>
      </w:r>
      <w:proofErr w:type="spellEnd"/>
      <w:r w:rsidRPr="00097209">
        <w:rPr>
          <w:sz w:val="24"/>
          <w:szCs w:val="24"/>
        </w:rPr>
        <w:t xml:space="preserve"> в корне меняет устоявшееся представление о рабочих профессиях, повышает их престиж и значимость, утверждает высокие стандарты профессиональной подготовки и необходимость творческого подхода.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— намного больше, чем просто чемпионат работников компаний. Больше трети компетенций относятся к профессиям будущего, спрос на которые растёт. Победители соревнований становятся востребованными специалистами, за которых компании и </w:t>
      </w:r>
      <w:r w:rsidRPr="00097209">
        <w:rPr>
          <w:sz w:val="24"/>
          <w:szCs w:val="24"/>
        </w:rPr>
        <w:lastRenderedPageBreak/>
        <w:t>предприятия бьются, предлагая выгодные условия работы. Чемпионы участвуют в кастинге, когда выбирают не их, а выбирают они – у кого работать. Есть истории, когда призеры, которым нет и 20 лет, открывают свое дело.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Заметив, что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 xml:space="preserve"> – это самый прямой и быстрый карьерный социальный лифт, Б. </w:t>
      </w:r>
      <w:proofErr w:type="spellStart"/>
      <w:r w:rsidRPr="00097209">
        <w:rPr>
          <w:sz w:val="24"/>
          <w:szCs w:val="24"/>
        </w:rPr>
        <w:t>Манасбаева</w:t>
      </w:r>
      <w:proofErr w:type="spellEnd"/>
      <w:r w:rsidRPr="00097209">
        <w:rPr>
          <w:sz w:val="24"/>
          <w:szCs w:val="24"/>
        </w:rPr>
        <w:t xml:space="preserve"> внесла предложение провести подобный чемпионат в Казахстане между предприятиями горно-металлургической отрасли. Она призвала все заинтересованные стороны принять активное участие и поддержать ассоциацию в этом начинании, ведь быстрорастущую экономику необходимо обеспечивать высококвалифицированными кадрами, чтобы быть на шаг впереди стремительно развивающихся технологий.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По итогам обсуждения данного вопроса планируется разработать комплекс мероприятий по развитию и популяризации движения </w:t>
      </w:r>
      <w:proofErr w:type="spellStart"/>
      <w:r w:rsidRPr="00097209">
        <w:rPr>
          <w:sz w:val="24"/>
          <w:szCs w:val="24"/>
        </w:rPr>
        <w:t>WorldSkills</w:t>
      </w:r>
      <w:proofErr w:type="spellEnd"/>
      <w:r w:rsidRPr="00097209">
        <w:rPr>
          <w:sz w:val="24"/>
          <w:szCs w:val="24"/>
        </w:rPr>
        <w:t>, поддержке движения «Юный геолог», подготовить соответствующие обращения к руководителям горнодобывающих компаний.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На заседании Комитета были утверждены проекты профессиональных стандартов в сфере «Геология» и «Горно-металлургическая промышленность», разработанные АГМП. Предварительно они были согласованы с отраслевыми ассоциациями, вынесены на заседание отраслевого совета при Министерстве по инвестициям и развитию РК.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О внесении поправок в Правила по определению страны происхождения товара, выдаче сертификата страны происхождения и отмене его действия рассказал член Комитета, директор представительства в г. Астана ТОО «KSP </w:t>
      </w:r>
      <w:proofErr w:type="spellStart"/>
      <w:r w:rsidRPr="00097209">
        <w:rPr>
          <w:sz w:val="24"/>
          <w:szCs w:val="24"/>
        </w:rPr>
        <w:t>Steel</w:t>
      </w:r>
      <w:proofErr w:type="spellEnd"/>
      <w:r w:rsidRPr="00097209">
        <w:rPr>
          <w:sz w:val="24"/>
          <w:szCs w:val="24"/>
        </w:rPr>
        <w:t xml:space="preserve">» </w:t>
      </w:r>
      <w:proofErr w:type="spellStart"/>
      <w:r w:rsidRPr="00097209">
        <w:rPr>
          <w:sz w:val="24"/>
          <w:szCs w:val="24"/>
        </w:rPr>
        <w:t>Меиржан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Кенжебаев</w:t>
      </w:r>
      <w:proofErr w:type="spellEnd"/>
      <w:r w:rsidRPr="00097209">
        <w:rPr>
          <w:sz w:val="24"/>
          <w:szCs w:val="24"/>
        </w:rPr>
        <w:t>. Он высказал возражение принятию проекта приказа МИР РК «О внесении изменений и дополнений в приказ МИР РК от 24 февраля 2015 года №155 «Об утверждении Правил по определению страны происхождения товара, выдаче сертификата о происхождении товара и отмене его действия» в Приложение 4 строка (ТНВЭД 7304).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— Новая редакция правил позволит любой компании завозить импортную трубную продукцию и при этом не производить даже соединительную муфту и получить сертификат о происхождении товара, и встать в один ряд с таким отечественным производителем, как ТОО «KSP </w:t>
      </w:r>
      <w:proofErr w:type="spellStart"/>
      <w:r w:rsidRPr="00097209">
        <w:rPr>
          <w:sz w:val="24"/>
          <w:szCs w:val="24"/>
        </w:rPr>
        <w:t>Steel</w:t>
      </w:r>
      <w:proofErr w:type="spellEnd"/>
      <w:r w:rsidRPr="00097209">
        <w:rPr>
          <w:sz w:val="24"/>
          <w:szCs w:val="24"/>
        </w:rPr>
        <w:t>», казахстанское содержание в производстве которого составляет 97%, где трудится 5,5 тысяч человек, а сумма вложенных инвестиций превышает 1 млрд. 200 млн долларов. В противном случае сертификат о происхождении товара не будет являться инструментом поддержки отечественного производителя, и вся концепция сертификата CT-KZ станет неактуальной.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Члены Комитета выразили поддержку позиции представителей ТОО «KSP </w:t>
      </w:r>
      <w:proofErr w:type="spellStart"/>
      <w:r w:rsidRPr="00097209">
        <w:rPr>
          <w:sz w:val="24"/>
          <w:szCs w:val="24"/>
        </w:rPr>
        <w:t>Steel</w:t>
      </w:r>
      <w:proofErr w:type="spellEnd"/>
      <w:r w:rsidRPr="00097209">
        <w:rPr>
          <w:sz w:val="24"/>
          <w:szCs w:val="24"/>
        </w:rPr>
        <w:t>», решив юридически проработать этот вопрос.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>…Сегодня же состоялось первое заседание подкомитета угольной промышленности Комитета геологической отрасли, горнорудной, угледобывающей и металлургической промышленности Президиума НПП РК «</w:t>
      </w:r>
      <w:proofErr w:type="spellStart"/>
      <w:r w:rsidRPr="00097209">
        <w:rPr>
          <w:sz w:val="24"/>
          <w:szCs w:val="24"/>
        </w:rPr>
        <w:t>Атамекен</w:t>
      </w:r>
      <w:proofErr w:type="spellEnd"/>
      <w:r w:rsidRPr="00097209">
        <w:rPr>
          <w:sz w:val="24"/>
          <w:szCs w:val="24"/>
        </w:rPr>
        <w:t xml:space="preserve">». На заседании председателем подкомитета угольной промышленности избран первый заместитель исполнительного директора АГМП </w:t>
      </w:r>
      <w:proofErr w:type="spellStart"/>
      <w:r w:rsidRPr="00097209">
        <w:rPr>
          <w:sz w:val="24"/>
          <w:szCs w:val="24"/>
        </w:rPr>
        <w:t>Тулеген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Муханов</w:t>
      </w:r>
      <w:proofErr w:type="spellEnd"/>
      <w:r w:rsidRPr="00097209">
        <w:rPr>
          <w:sz w:val="24"/>
          <w:szCs w:val="24"/>
        </w:rPr>
        <w:t>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lastRenderedPageBreak/>
        <w:t xml:space="preserve">Директор департамента по вопросам угольной промышленности и транспортного обеспечения АГМП </w:t>
      </w:r>
      <w:proofErr w:type="spellStart"/>
      <w:r w:rsidRPr="00097209">
        <w:rPr>
          <w:sz w:val="24"/>
          <w:szCs w:val="24"/>
        </w:rPr>
        <w:t>Баубек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Токтагазин</w:t>
      </w:r>
      <w:proofErr w:type="spellEnd"/>
      <w:r w:rsidRPr="00097209">
        <w:rPr>
          <w:sz w:val="24"/>
          <w:szCs w:val="24"/>
        </w:rPr>
        <w:t xml:space="preserve"> рассказал о работе, проделанной АГМП по недопущению принятия мер по регулированию рынка реализации угля.</w:t>
      </w:r>
    </w:p>
    <w:p w:rsidR="00097209" w:rsidRPr="00097209" w:rsidRDefault="00097209" w:rsidP="00097209">
      <w:pPr>
        <w:jc w:val="both"/>
        <w:rPr>
          <w:sz w:val="24"/>
          <w:szCs w:val="24"/>
        </w:rPr>
      </w:pPr>
      <w:r w:rsidRPr="00097209">
        <w:rPr>
          <w:sz w:val="24"/>
          <w:szCs w:val="24"/>
        </w:rPr>
        <w:t xml:space="preserve">С презентацией модуля «Виртуальный склад» информационной системы «Электронные счета – фактуры» выступила главный эксперт Комитета государственных доходов Министерства финансов РК </w:t>
      </w:r>
      <w:proofErr w:type="spellStart"/>
      <w:r w:rsidRPr="00097209">
        <w:rPr>
          <w:sz w:val="24"/>
          <w:szCs w:val="24"/>
        </w:rPr>
        <w:t>Данара</w:t>
      </w:r>
      <w:proofErr w:type="spellEnd"/>
      <w:r w:rsidRPr="00097209">
        <w:rPr>
          <w:sz w:val="24"/>
          <w:szCs w:val="24"/>
        </w:rPr>
        <w:t xml:space="preserve"> </w:t>
      </w:r>
      <w:proofErr w:type="spellStart"/>
      <w:r w:rsidRPr="00097209">
        <w:rPr>
          <w:sz w:val="24"/>
          <w:szCs w:val="24"/>
        </w:rPr>
        <w:t>Жампозова</w:t>
      </w:r>
      <w:proofErr w:type="spellEnd"/>
      <w:r w:rsidRPr="00097209">
        <w:rPr>
          <w:sz w:val="24"/>
          <w:szCs w:val="24"/>
        </w:rPr>
        <w:t>.</w:t>
      </w:r>
    </w:p>
    <w:p w:rsidR="00F4025A" w:rsidRPr="004F1711" w:rsidRDefault="00F4025A" w:rsidP="00097209">
      <w:pPr>
        <w:jc w:val="both"/>
        <w:rPr>
          <w:b/>
          <w:sz w:val="24"/>
          <w:szCs w:val="24"/>
        </w:rPr>
      </w:pPr>
      <w:bookmarkStart w:id="0" w:name="_GoBack"/>
      <w:bookmarkEnd w:id="0"/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</w:t>
      </w:r>
      <w:r w:rsidR="00E10E91">
        <w:rPr>
          <w:sz w:val="24"/>
          <w:szCs w:val="24"/>
        </w:rPr>
        <w:t>4 37 08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EE5D52" w:rsidRPr="00EE5D52" w:rsidRDefault="00EE5D52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FA" w:rsidRDefault="002265FA" w:rsidP="00DE2BF8">
      <w:pPr>
        <w:spacing w:after="0" w:line="240" w:lineRule="auto"/>
      </w:pPr>
      <w:r>
        <w:separator/>
      </w:r>
    </w:p>
  </w:endnote>
  <w:endnote w:type="continuationSeparator" w:id="0">
    <w:p w:rsidR="002265FA" w:rsidRDefault="002265FA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FA" w:rsidRDefault="002265FA" w:rsidP="00DE2BF8">
      <w:pPr>
        <w:spacing w:after="0" w:line="240" w:lineRule="auto"/>
      </w:pPr>
      <w:r>
        <w:separator/>
      </w:r>
    </w:p>
  </w:footnote>
  <w:footnote w:type="continuationSeparator" w:id="0">
    <w:p w:rsidR="002265FA" w:rsidRDefault="002265FA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346D4"/>
    <w:rsid w:val="00097209"/>
    <w:rsid w:val="0020722B"/>
    <w:rsid w:val="002265FA"/>
    <w:rsid w:val="00295EEA"/>
    <w:rsid w:val="003231F7"/>
    <w:rsid w:val="00386DEF"/>
    <w:rsid w:val="003C428F"/>
    <w:rsid w:val="004158D5"/>
    <w:rsid w:val="00434963"/>
    <w:rsid w:val="00477B80"/>
    <w:rsid w:val="004A558E"/>
    <w:rsid w:val="004F1711"/>
    <w:rsid w:val="00536503"/>
    <w:rsid w:val="00597DE7"/>
    <w:rsid w:val="006476EC"/>
    <w:rsid w:val="006A60AC"/>
    <w:rsid w:val="00745C16"/>
    <w:rsid w:val="007D6FFB"/>
    <w:rsid w:val="007E25E3"/>
    <w:rsid w:val="009A1744"/>
    <w:rsid w:val="00A15693"/>
    <w:rsid w:val="00A23547"/>
    <w:rsid w:val="00C51F7B"/>
    <w:rsid w:val="00CA7259"/>
    <w:rsid w:val="00D75CBD"/>
    <w:rsid w:val="00DC180F"/>
    <w:rsid w:val="00DC2843"/>
    <w:rsid w:val="00DE2BF8"/>
    <w:rsid w:val="00E10E91"/>
    <w:rsid w:val="00EE5D52"/>
    <w:rsid w:val="00F24089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2019-10-09T13:19:00Z</dcterms:created>
  <dcterms:modified xsi:type="dcterms:W3CDTF">2019-10-09T13:19:00Z</dcterms:modified>
</cp:coreProperties>
</file>